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w10="urn:schemas-microsoft-com:office:word" xmlns:w14="http://schemas.microsoft.com/office/word/2010/wordml" xmlns:wp14="http://schemas.microsoft.com/office/word/2010/wordprocessingDrawing" mc:Ignorable="w14 wp14">
  <w:body>
    <w:p>
      <w:pPr>
        <w:spacing w:before="240" w:after="80"/>
      </w:pPr>
      <w:r>
        <w:rPr>
          <w:b/>
          <w:color w:val="1F4E79"/>
          <w:sz w:val="32"/>
          <w:szCs w:val="32"/>
        </w:rPr>
        <w:t xml:space="preserve">Guide d'utilisation du pack SME</w:t>
      </w:r>
    </w:p>
    <w:p>
      <w:r>
        <w:rPr>
          <w:color w:val="595959"/>
          <w:sz w:val="18"/>
          <w:szCs w:val="18"/>
        </w:rPr>
        <w:t xml:space="preserve">Comment prendre en main la documentation ISO 14001:2026</w:t>
      </w:r>
    </w:p>
    <w:p>
      <w:pPr>
        <w:spacing w:before="0" w:after="240"/>
      </w:pPr>
      <w:r>
        <w:rPr>
          <w:color w:val="595959"/>
          <w:sz w:val="18"/>
          <w:szCs w:val="18"/>
        </w:rPr>
        <w:t xml:space="preserve">Référence : GUI-ENV-001 | Révision : 1.0 | Statut : Approuvé</w:t>
      </w:r>
    </w:p>
    <w:p>
      <w:pPr>
        <w:pStyle w:val="Heading1"/>
      </w:pPr>
      <w:r>
        <w:t xml:space="preserve">1. Objet du pack</w:t>
      </w:r>
    </w:p>
    <w:p>
      <w:r>
        <w:t xml:space="preserve">Ce pack constitue un Système de Management Environnemental (SME) documentaire complet et générique, conforme à l'ISO 14001:2026. Il est destiné à être personnalisé au contexte de votre organisme puis déployé jusqu'à la certification.</w:t>
      </w:r>
    </w:p>
    <w:p>
      <w:pPr>
        <w:pStyle w:val="Heading1"/>
      </w:pPr>
      <w:r>
        <w:t xml:space="preserve">2. Structure du pack</w:t>
      </w:r>
    </w:p>
    <w:tbl>
      <w:tblPr>
        <w:tblW w:w="5000" w:type="pct"/>
        <w:tblLayout w:type="autofi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top w:w="60" w:type="dxa"/>
          <w:left w:w="90" w:type="dxa"/>
          <w:bottom w:w="60" w:type="dxa"/>
          <w:right w:w="90" w:type="dxa"/>
        </w:tblCellMar>
      </w:tblPr>
      <w:tblGrid>
        <w:gridCol w:w="2699"/>
        <w:gridCol w:w="6939"/>
      </w:tblGrid>
      <w:tr>
        <w:trPr>
          <w:tblHeader/>
          <w:cantSplit/>
        </w:trPr>
        <w:tc>
          <w:tcPr>
            <w:tcW w:w="2699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Dossier</w:t>
            </w:r>
          </w:p>
        </w:tc>
        <w:tc>
          <w:tcPr>
            <w:tcW w:w="6939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Contenu</w:t>
            </w:r>
          </w:p>
        </w:tc>
      </w:tr>
      <w:tr>
        <w:trPr>
          <w:cantSplit/>
        </w:trPr>
        <w:tc>
          <w:tcPr>
            <w:tcW w:w="2699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00_Guides</w:t>
            </w:r>
          </w:p>
        </w:tc>
        <w:tc>
          <w:tcPr>
            <w:tcW w:w="6939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Guides d'utilisation, de personnalisation, des logigrammes et lexique</w:t>
            </w:r>
          </w:p>
        </w:tc>
      </w:tr>
      <w:tr>
        <w:trPr>
          <w:cantSplit/>
        </w:trPr>
        <w:tc>
          <w:tcPr>
            <w:tcW w:w="2699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01_Gouvernance</w:t>
            </w:r>
          </w:p>
        </w:tc>
        <w:tc>
          <w:tcPr>
            <w:tcW w:w="6939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Politique, cartographie, registre contexte &amp; parties intéressées</w:t>
            </w:r>
          </w:p>
        </w:tc>
      </w:tr>
      <w:tr>
        <w:trPr>
          <w:cantSplit/>
        </w:trPr>
        <w:tc>
          <w:tcPr>
            <w:tcW w:w="2699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02_Fiches_Processus</w:t>
            </w:r>
          </w:p>
        </w:tc>
        <w:tc>
          <w:tcPr>
            <w:tcW w:w="6939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10 fiches de processus (familles PM/PC/PS)</w:t>
            </w:r>
          </w:p>
        </w:tc>
      </w:tr>
      <w:tr>
        <w:trPr>
          <w:cantSplit/>
        </w:trPr>
        <w:tc>
          <w:tcPr>
            <w:tcW w:w="2699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03_Procedures</w:t>
            </w:r>
          </w:p>
        </w:tc>
        <w:tc>
          <w:tcPr>
            <w:tcW w:w="6939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16 procédures au format normé</w:t>
            </w:r>
          </w:p>
        </w:tc>
      </w:tr>
      <w:tr>
        <w:trPr>
          <w:cantSplit/>
        </w:trPr>
        <w:tc>
          <w:tcPr>
            <w:tcW w:w="2699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04_Formulaires_Registres</w:t>
            </w:r>
          </w:p>
        </w:tc>
        <w:tc>
          <w:tcPr>
            <w:tcW w:w="6939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Registres aspects/impacts, exigences légales, tableau de bord, déchets</w:t>
            </w:r>
          </w:p>
        </w:tc>
      </w:tr>
      <w:tr>
        <w:trPr>
          <w:cantSplit/>
        </w:trPr>
        <w:tc>
          <w:tcPr>
            <w:tcW w:w="2699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06_Matrice</w:t>
            </w:r>
          </w:p>
        </w:tc>
        <w:tc>
          <w:tcPr>
            <w:tcW w:w="6939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Matrice de correspondance des clauses ISO 14001:2026</w:t>
            </w:r>
          </w:p>
        </w:tc>
      </w:tr>
      <w:tr>
        <w:trPr>
          <w:cantSplit/>
        </w:trPr>
        <w:tc>
          <w:tcPr>
            <w:tcW w:w="2699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07_Manuel</w:t>
            </w:r>
          </w:p>
        </w:tc>
        <w:tc>
          <w:tcPr>
            <w:tcW w:w="6939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Manuel du SME</w:t>
            </w:r>
          </w:p>
        </w:tc>
      </w:tr>
      <w:tr>
        <w:trPr>
          <w:cantSplit/>
        </w:trPr>
        <w:tc>
          <w:tcPr>
            <w:tcW w:w="2699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08_Guide_Mise_en_Oeuvre</w:t>
            </w:r>
          </w:p>
        </w:tc>
        <w:tc>
          <w:tcPr>
            <w:tcW w:w="6939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Feuille de route de déploiement</w:t>
            </w:r>
          </w:p>
        </w:tc>
      </w:tr>
    </w:tbl>
    <w:p>
      <w:pPr>
        <w:spacing w:before="0" w:after="0"/>
      </w:pPr>
    </w:p>
    <w:p>
      <w:pPr>
        <w:pStyle w:val="Heading1"/>
      </w:pPr>
      <w:r>
        <w:t xml:space="preserve">3. Ordre de lecture recommandé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Commencer par le Manuel SME (MAN-ENV-001) pour la vue d'ensemble ;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Consulter la cartographie (CAR-ENV-001) et les 10 fiches de processus ;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Personnaliser la politique (PO-ENV-001) et le registre contexte (F-ENV-001) ;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Réaliser l'analyse environnementale (S-ASP-001, PR-ASP-001) ;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Décliner les procédures et registres au fil du déploiement (feuille de route P-ENV-001).</w:t>
      </w:r>
    </w:p>
    <w:p>
      <w:pPr>
        <w:pStyle w:val="Heading1"/>
      </w:pPr>
      <w:r>
        <w:t xml:space="preserve">4. Codification des documents</w:t>
      </w:r>
    </w:p>
    <w:p>
      <w:r>
        <w:t xml:space="preserve">Les documents suivent la codification [TYPE]-[DOMAINE]-[N°] : PO (politique), MAN (manuel), CAR (cartographie), PM/PC/PS (fiches de processus par famille), PR (procédures), F (formulaires), S (registres/supports), P (programmes/plans), MATRICE, GUI (guides).</w:t>
      </w:r>
    </w:p>
    <w:p>
      <w:pPr>
        <w:pStyle w:val="Heading1"/>
      </w:pPr>
      <w:r>
        <w:t xml:space="preserve">5. Bon à savoir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À l'ouverture dans Word, faites Ctrl+A puis F9 pour actualiser sommaires et pagination ;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Les champs [Nom organisation] et [À COMPLÉTER] sont à renseigner par l'organisme ;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Les exemples pré-remplis (registres) sont à adapter à votre réalité.</w:t>
      </w:r>
    </w:p>
    <w:sectPr>
      <w:headerReference w:type="default" r:id="rIdHdr"/>
      <w:footerReference w:type="default" r:id="rIdFtr"/>
      <w:pgSz w:w="11906" w:h="16838"/>
      <w:pgMar w:top="1417" w:right="1134" w:bottom="1134" w:left="1134" w:header="680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w10="urn:schemas-microsoft-com:office:word" xmlns:w14="http://schemas.microsoft.com/office/word/2010/wordml" xmlns:wp14="http://schemas.microsoft.com/office/word/2010/wordprocessingDrawing" mc:Ignorable="w14 wp14">
  <w:p>
    <w:pPr>
      <w:spacing w:before="0" w:after="0"/>
      <w:jc w:val="center"/>
    </w:pPr>
    <w:r>
      <w:rPr>
        <w:color w:val="8A8A8A"/>
        <w:sz w:val="14"/>
        <w:szCs w:val="14"/>
      </w:rPr>
      <w:t xml:space="preserve">Document maîtrisé. Toute reproduction imprimée est une copie non maîtrisée. Diffusion : [interne / restreinte / publique]</w:t>
    </w:r>
  </w:p>
  <w:p>
    <w:pPr>
      <w:spacing w:before="0" w:after="0"/>
      <w:jc w:val="center"/>
    </w:pPr>
    <w:r>
      <w:rPr>
        <w:i/>
        <w:color w:val="B4B4B4"/>
        <w:sz w:val="13"/>
        <w:szCs w:val="13"/>
      </w:rPr>
      <w:t xml:space="preserve">Trame conçue par Hub Engineering Management Consulting · hem-consulting.com · [ligne à supprimer après personnalisation]</w:t>
    </w:r>
  </w:p>
  <w:p>
    <w:pPr>
      <w:jc w:val="center"/>
    </w:pPr>
    <w:r>
      <w:rPr>
        <w:sz w:val="14"/>
        <w:color w:val="8A8A8A"/>
      </w:rP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sz w:val="14"/>
        <w:color w:val="8A8A8A"/>
      </w:rPr>
      <w:t xml:space="preserve"> / </w:t>
    </w:r>
    <w:r>
      <w:fldChar w:fldCharType="begin"/>
    </w:r>
    <w:r>
      <w:instrText xml:space="preserve"> NUMPAGES </w:instrText>
    </w:r>
    <w:r>
      <w:fldChar w:fldCharType="separate"/>
    </w:r>
    <w:r>
      <w:t>1</w:t>
    </w:r>
    <w:r>
      <w:fldChar w:fldCharType="end"/>
    </w:r>
  </w:p>
</w:ftr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w10="urn:schemas-microsoft-com:office:word" xmlns:w14="http://schemas.microsoft.com/office/word/2010/wordml" xmlns:wp14="http://schemas.microsoft.com/office/word/2010/wordprocessingDrawing" mc:Ignorable="w14 wp14">
  <w:tbl>
    <w:tblPr>
      <w:tblW w:w="5000" w:type="pct"/>
      <w:tblLayout w:type="autofit"/>
      <w:tblCellMar>
        <w:top w:w="0" w:type="dxa"/>
        <w:left w:w="80" w:type="dxa"/>
        <w:bottom w:w="60" w:type="dxa"/>
        <w:right w:w="80" w:type="dxa"/>
      </w:tblCellMar>
    </w:tblPr>
    <w:tblGrid>
      <w:gridCol w:w="1652"/>
      <w:gridCol w:w="5232"/>
      <w:gridCol w:w="2754"/>
    </w:tblGrid>
    <w:tr>
      <w:tc>
        <w:tcPr>
          <w:tcW w:w="1652" w:type="dxa"/>
          <w:tcBorders>
            <w:bottom w:val="single" w:sz="12" w:space="0" w:color="1F4E79"/>
          </w:tcBorders>
          <w:vAlign w:val="center"/>
        </w:tcPr>
        <w:p>
          <w:pPr>
            <w:spacing w:before="0" w:after="0"/>
          </w:pPr>
          <w:r>
            <w:rPr>
              <w:b/>
              <w:color w:val="595959"/>
              <w:sz w:val="16"/>
              <w:szCs w:val="16"/>
            </w:rPr>
            <w:t xml:space="preserve">[LOGO CLIENT]</w:t>
          </w:r>
        </w:p>
        <w:p>
          <w:pPr>
            <w:spacing w:before="0" w:after="0"/>
          </w:pPr>
          <w:r>
            <w:rPr>
              <w:color w:val="595959"/>
              <w:sz w:val="16"/>
              <w:szCs w:val="16"/>
            </w:rPr>
            <w:t xml:space="preserve">[NOM DE L'ORGANISME]</w:t>
          </w:r>
        </w:p>
      </w:tc>
      <w:tc>
        <w:tcPr>
          <w:tcW w:w="5232" w:type="dxa"/>
          <w:tcBorders>
            <w:bottom w:val="single" w:sz="12" w:space="0" w:color="1F4E79"/>
          </w:tcBorders>
          <w:vAlign w:val="center"/>
        </w:tcPr>
        <w:p>
          <w:pPr>
            <w:spacing w:before="0" w:after="0"/>
            <w:jc w:val="center"/>
          </w:pPr>
          <w:r>
            <w:rPr>
              <w:b/>
              <w:smallCaps/>
              <w:color w:val="1F4E79"/>
              <w:sz w:val="16"/>
              <w:szCs w:val="16"/>
            </w:rPr>
            <w:t xml:space="preserve">Guide</w:t>
          </w:r>
        </w:p>
        <w:p>
          <w:pPr>
            <w:spacing w:before="0" w:after="0"/>
            <w:jc w:val="center"/>
          </w:pPr>
          <w:r>
            <w:rPr>
              <w:b/>
              <w:color w:val="1F4E79"/>
              <w:sz w:val="20"/>
              <w:szCs w:val="20"/>
            </w:rPr>
            <w:t xml:space="preserve">Guide d'utilisation du pack SME</w:t>
          </w:r>
        </w:p>
      </w:tc>
      <w:tc>
        <w:tcPr>
          <w:tcW w:w="2754" w:type="dxa"/>
          <w:tcBorders>
            <w:bottom w:val="single" w:sz="12" w:space="0" w:color="1F4E79"/>
          </w:tcBorders>
          <w:vAlign w:val="center"/>
        </w:tcPr>
        <w:p>
          <w:pPr>
            <w:spacing w:before="0" w:after="0"/>
            <w:jc w:val="right"/>
          </w:pPr>
          <w:r>
            <w:rPr>
              <w:color w:val="595959"/>
              <w:sz w:val="16"/>
              <w:szCs w:val="16"/>
            </w:rPr>
            <w:t xml:space="preserve">Code : GUI-ENV-001</w:t>
          </w:r>
        </w:p>
        <w:p>
          <w:pPr>
            <w:spacing w:before="0" w:after="0"/>
            <w:jc w:val="right"/>
          </w:pPr>
          <w:r>
            <w:rPr>
              <w:color w:val="595959"/>
              <w:sz w:val="16"/>
              <w:szCs w:val="16"/>
            </w:rPr>
            <w:t xml:space="preserve">Version : 1.0</w:t>
          </w:r>
        </w:p>
        <w:p>
          <w:pPr>
            <w:spacing w:before="0" w:after="0"/>
            <w:jc w:val="right"/>
          </w:pPr>
          <w:r>
            <w:rPr>
              <w:color w:val="595959"/>
              <w:sz w:val="16"/>
              <w:szCs w:val="16"/>
            </w:rPr>
            <w:t xml:space="preserve">Date : [jj/mm/aaaa]</w:t>
          </w:r>
        </w:p>
      </w:tc>
    </w:tr>
  </w:tbl>
  <w:p>
    <w:pPr>
      <w:spacing w:before="0" w:after="0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:updateFields w:val="tru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40" w:after="8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1F4E79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8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1F4E79"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F4E7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1F4E79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1F4E79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1F4E79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1F4E79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1F4E79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1F4E79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1F4E79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1F4E79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1F4E79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1F4E79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1F4E79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1F4E79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_rels/document.xml.rels><?xml version="1.0" encoding="UTF-8" standalone="yes"?><Relationships xmlns="http://schemas.openxmlformats.org/package/2006/relationships"><Relationship Id="rIdSty" Type="http://schemas.openxmlformats.org/officeDocument/2006/relationships/styles" Target="styles.xml"/><Relationship Id="rIdSet" Type="http://schemas.openxmlformats.org/officeDocument/2006/relationships/settings" Target="settings.xml"/><Relationship Id="rIdNum" Type="http://schemas.openxmlformats.org/officeDocument/2006/relationships/numbering" Target="numbering.xml"/><Relationship Id="rIdFnt" Type="http://schemas.openxmlformats.org/officeDocument/2006/relationships/fontTable" Target="fontTable.xml"/><Relationship Id="rIdThm" Type="http://schemas.openxmlformats.org/officeDocument/2006/relationships/theme" Target="theme/theme1.xml"/><Relationship Id="rIdHdr" Type="http://schemas.openxmlformats.org/officeDocument/2006/relationships/header" Target="header1.xml"/><Relationship Id="rIdFtr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Hub Engineering Management Consulting</Application>
  <Company>HEMC</Company>
  <Manager>Hub Engineering Management Consulting</Manager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Guide d'utilisation du pack SME</dc:title>
  <dc:subject>Guide GUI-ENV-001</dc:subject>
  <dc:creator>Hub Engineering Management Consulting</dc:creator>
  <cp:lastModifiedBy>Hub Engineering Management Consulting</cp:lastModifiedBy>
  <cp:keywords>GUI-ENV-001</cp:keywords>
  <dc:description>Modele documentaire edite par HEMC, hem-consulting.com. A personnaliser par l'organisme utilisateur.</dc:description>
  <cp:category>Guide</cp:category>
  <cp:revision>1</cp:revision>
  <dcterms:created xsi:type="dcterms:W3CDTF">2026-08-13T00:00:00Z</dcterms:created>
  <dcterms:modified xsi:type="dcterms:W3CDTF">2026-08-13T00:00:00Z</dcterms:modified>
  <dc:language>fr-FR</dc:language>
</cp:coreProperties>
</file>