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Identification et évaluation des aspects et impacts environnementaux</w:t>
      </w:r>
    </w:p>
    <w:p>
      <w:pPr>
        <w:spacing w:before="0" w:after="240"/>
      </w:pPr>
      <w:r>
        <w:rPr>
          <w:color w:val="595959"/>
          <w:sz w:val="18"/>
          <w:szCs w:val="18"/>
        </w:rPr>
        <w:t xml:space="preserve">Référence : PC-ASP | Révision : 1.0 | Statut : Approuvé</w:t>
      </w:r>
    </w:p>
    <w:p>
      <w:r>
        <w:rPr>
          <w:color w:val="595959"/>
          <w:sz w:val="18"/>
          <w:szCs w:val="18"/>
        </w:rPr>
        <w:t xml:space="preserve">Famille de processus : Réalisation</w:t>
      </w:r>
    </w:p>
    <w:p>
      <w:r>
        <w:rPr>
          <w:color w:val="595959"/>
          <w:sz w:val="18"/>
          <w:szCs w:val="18"/>
        </w:rPr>
        <w:t xml:space="preserve">Sommaire</w:t>
      </w:r>
    </w:p>
    <w:p>
      <w:pPr>
        <w:spacing w:before="240" w:after="80"/>
      </w:pPr>
      <w:r>
        <w:rPr>
          <w:b/>
          <w:color w:val="1F4E79"/>
          <w:sz w:val="24"/>
          <w:szCs w:val="24"/>
        </w:rPr>
        <w:t xml:space="preserve">Sommaire</w:t>
      </w:r>
    </w:p>
    <w:p>
      <w:pPr>
        <w:spacing w:before="0" w:after="120"/>
      </w:pPr>
      <w:r>
        <w:rPr>
          <w:i/>
          <w:color w:val="595959"/>
          <w:sz w:val="18"/>
          <w:szCs w:val="18"/>
        </w:rPr>
        <w:t xml:space="preserve">Sommaire automatique. Word l'actualise à l'ouverture. Sinon, Ctrl+A puis F9.</w:t>
      </w:r>
    </w:p>
    <w:p>
      <w:pPr>
        <w:pStyle w:val="TOC1"/>
        <w:tabs>
          <w:tab w:val="right" w:leader="dot" w:pos="9638"/>
        </w:tabs>
        <w:ind w:left="0"/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000000" w:history="1">
        <w:r>
          <w:rPr>
            <w:rStyle w:val="Hyperlink"/>
            <w:noProof/>
          </w:rPr>
          <w:t xml:space="preserve">1. Finalité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_Toc7000000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1" w:history="1">
        <w:r>
          <w:rPr>
            <w:rStyle w:val="Hyperlink"/>
            <w:noProof/>
          </w:rPr>
          <w:t xml:space="preserve">2. Maîtrise du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_Toc7000001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2" w:history="1">
        <w:r>
          <w:rPr>
            <w:rStyle w:val="Hyperlink"/>
            <w:noProof/>
          </w:rPr>
          <w:t xml:space="preserve">3. Pilote du processus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_Toc7000002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3" w:history="1">
        <w:r>
          <w:rPr>
            <w:rStyle w:val="Hyperlink"/>
            <w:noProof/>
          </w:rPr>
          <w:t xml:space="preserve">4. Domaine d’application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_Toc7000003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4" w:history="1">
        <w:r>
          <w:rPr>
            <w:rStyle w:val="Hyperlink"/>
            <w:noProof/>
          </w:rPr>
          <w:t xml:space="preserve">5. Éléments d’entrée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_Toc7000004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5" w:history="1">
        <w:r>
          <w:rPr>
            <w:rStyle w:val="Hyperlink"/>
            <w:noProof/>
          </w:rPr>
          <w:t xml:space="preserve">6. Éléments de sortie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_Toc7000005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6" w:history="1">
        <w:r>
          <w:rPr>
            <w:rStyle w:val="Hyperlink"/>
            <w:noProof/>
          </w:rPr>
          <w:t xml:space="preserve">7. Activités clés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_Toc7000006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7" w:history="1">
        <w:r>
          <w:rPr>
            <w:rStyle w:val="Hyperlink"/>
            <w:noProof/>
          </w:rPr>
          <w:t xml:space="preserve">8. Interactions du processus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_Toc7000007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8" w:history="1">
        <w:r>
          <w:rPr>
            <w:rStyle w:val="Hyperlink"/>
            <w:noProof/>
          </w:rPr>
          <w:t xml:space="preserve">9. Indicateurs de performance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_Toc7000008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09" w:history="1">
        <w:r>
          <w:rPr>
            <w:rStyle w:val="Hyperlink"/>
            <w:noProof/>
          </w:rPr>
          <w:t xml:space="preserve">10. Risques et points de maîtrise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_Toc7000009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10" w:history="1">
        <w:r>
          <w:rPr>
            <w:rStyle w:val="Hyperlink"/>
            <w:noProof/>
          </w:rPr>
          <w:t xml:space="preserve">11. Documents et enregistrements associés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_Toc7000010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11" w:history="1">
        <w:r>
          <w:rPr>
            <w:rStyle w:val="Hyperlink"/>
            <w:noProof/>
          </w:rPr>
          <w:t xml:space="preserve">12. Historique des révisions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_Toc7000011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638"/>
        </w:tabs>
        <w:ind w:left="0"/>
        <w:rPr>
          <w:noProof/>
        </w:rPr>
      </w:pPr>
      <w:hyperlink w:anchor="_Toc7000012" w:history="1">
        <w:r>
          <w:rPr>
            <w:rStyle w:val="Hyperlink"/>
            <w:noProof/>
          </w:rPr>
          <w:t xml:space="preserve">13. Approbation du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_Toc7000012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  <w:r>
        <w:fldChar w:fldCharType="end"/>
      </w:r>
    </w:p>
    <w:p>
      <w:pPr>
        <w:pStyle w:val="Heading1"/>
      </w:pPr>
      <w:bookmarkStart w:id="970000" w:name="_Toc7000000"/>
      <w:r>
        <w:t xml:space="preserve">1. Finalité</w:t>
      </w:r>
      <w:bookmarkEnd w:id="970000"/>
    </w:p>
    <w:p>
      <w:r>
        <w:t xml:space="preserve">Identifier les aspects environnementaux des activités, produits et services dans une perspective de cycle de vie, évaluer leurs impacts et déterminer les aspects environnementaux significatifs.</w:t>
      </w:r>
    </w:p>
    <w:p>
      <w:r>
        <w:t xml:space="preserve">Ce processus répond aux exigences de l’ISO 14001:2026 (§6.1.2) et s’inscrit dans l’approche processus (§4.4) du Système de Management Environnemental.</w:t>
      </w:r>
    </w:p>
    <w:p>
      <w:pPr>
        <w:pStyle w:val="Heading1"/>
      </w:pPr>
      <w:bookmarkStart w:id="970001" w:name="_Toc7000001"/>
      <w:r>
        <w:t xml:space="preserve">2. Maîtrise du document</w:t>
      </w:r>
      <w:bookmarkEnd w:id="970001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120"/>
        <w:gridCol w:w="2891"/>
        <w:gridCol w:w="2121"/>
        <w:gridCol w:w="2506"/>
      </w:tblGrid>
      <w:tr>
        <w:trPr>
          <w:tblHeader/>
          <w:cantSplit/>
        </w:trPr>
        <w:tc>
          <w:tcPr>
            <w:tcW w:w="212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N° document</w:t>
            </w:r>
          </w:p>
        </w:tc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PC-ASP</w:t>
            </w:r>
          </w:p>
        </w:tc>
        <w:tc>
          <w:tcPr>
            <w:tcW w:w="212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Révision</w:t>
            </w:r>
          </w:p>
        </w:tc>
        <w:tc>
          <w:tcPr>
            <w:tcW w:w="250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Rév. 1.0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Pilote du processus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environnement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Date d’effet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</w:tr>
      <w:tr>
        <w:trPr>
          <w:cantSplit/>
        </w:trPr>
        <w:tc>
          <w:tcPr>
            <w:tcW w:w="21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Référence ISO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ISO 14001:2026 §6.1.2</w:t>
            </w:r>
          </w:p>
        </w:tc>
        <w:tc>
          <w:tcPr>
            <w:tcW w:w="212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Prochaine revue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Classification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Document contrôlé</w:t>
            </w:r>
          </w:p>
        </w:tc>
        <w:tc>
          <w:tcPr>
            <w:tcW w:w="212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Statut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Approuvé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02" w:name="_Toc7000002"/>
      <w:r>
        <w:t xml:space="preserve">3. Pilote du processus</w:t>
      </w:r>
      <w:bookmarkEnd w:id="970002"/>
    </w:p>
    <w:p>
      <w:r>
        <w:t xml:space="preserve">Responsable environnement. Le pilote conduit l'analyse environnementale, tient à jour le registre des aspects/impacts et détermine les aspects significatifs selon des critères établis.</w:t>
      </w:r>
    </w:p>
    <w:p>
      <w:pPr>
        <w:pStyle w:val="Heading1"/>
      </w:pPr>
      <w:bookmarkStart w:id="970003" w:name="_Toc7000003"/>
      <w:r>
        <w:t xml:space="preserve">4. Domaine d’application</w:t>
      </w:r>
      <w:bookmarkEnd w:id="970003"/>
    </w:p>
    <w:p>
      <w:r>
        <w:t xml:space="preserve">Ce processus couvre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l'analyse des activités, produits et services (perspective cycle de vie, §6.1.2).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l'identification des aspects en conditions normales, anormales et d'urgence (§6.1.2).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la cotation des impacts environnementaux (§6.1.2).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la détermination des aspects significatifs selon des critères (§6.1.2).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la mise à jour périodique de l'analyse (§6.1.2 / §6.3).</w:t>
      </w:r>
    </w:p>
    <w:p>
      <w:pPr>
        <w:pStyle w:val="Heading1"/>
      </w:pPr>
      <w:bookmarkStart w:id="970004" w:name="_Toc7000004"/>
      <w:r>
        <w:t xml:space="preserve">5. Éléments d’entrée</w:t>
      </w:r>
      <w:bookmarkEnd w:id="970004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4820"/>
        <w:gridCol w:w="2696"/>
        <w:gridCol w:w="2122"/>
      </w:tblGrid>
      <w:tr>
        <w:trPr>
          <w:tblHeader/>
          <w:cantSplit/>
        </w:trPr>
        <w:tc>
          <w:tcPr>
            <w:tcW w:w="482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Élément d’entrée</w:t>
            </w:r>
          </w:p>
        </w:tc>
        <w:tc>
          <w:tcPr>
            <w:tcW w:w="269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Source</w:t>
            </w:r>
          </w:p>
        </w:tc>
        <w:tc>
          <w:tcPr>
            <w:tcW w:w="212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</w:tr>
      <w:tr>
        <w:trPr>
          <w:cantSplit/>
        </w:trPr>
        <w:tc>
          <w:tcPr>
            <w:tcW w:w="48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Périmètre, activités, produits et services</w:t>
            </w:r>
          </w:p>
        </w:tc>
        <w:tc>
          <w:tcPr>
            <w:tcW w:w="269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PM-DIR / terrain</w:t>
            </w:r>
          </w:p>
        </w:tc>
        <w:tc>
          <w:tcPr>
            <w:tcW w:w="212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F-ENV-002</w:t>
            </w:r>
          </w:p>
        </w:tc>
      </w:tr>
      <w:tr>
        <w:trPr>
          <w:cantSplit/>
        </w:trPr>
        <w:tc>
          <w:tcPr>
            <w:tcW w:w="48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Données de procédés (consommations, rejets, déchets)</w:t>
            </w:r>
          </w:p>
        </w:tc>
        <w:tc>
          <w:tcPr>
            <w:tcW w:w="269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Processus opérationnels</w:t>
            </w:r>
          </w:p>
        </w:tc>
        <w:tc>
          <w:tcPr>
            <w:tcW w:w="212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S-RES-001</w:t>
            </w:r>
          </w:p>
        </w:tc>
      </w:tr>
      <w:tr>
        <w:trPr>
          <w:cantSplit/>
        </w:trPr>
        <w:tc>
          <w:tcPr>
            <w:tcW w:w="48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Obligations de conformité applicables</w:t>
            </w:r>
          </w:p>
        </w:tc>
        <w:tc>
          <w:tcPr>
            <w:tcW w:w="269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PS-REG</w:t>
            </w:r>
          </w:p>
        </w:tc>
        <w:tc>
          <w:tcPr>
            <w:tcW w:w="212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S-LEG-001</w:t>
            </w:r>
          </w:p>
        </w:tc>
      </w:tr>
      <w:tr>
        <w:trPr>
          <w:cantSplit/>
        </w:trPr>
        <w:tc>
          <w:tcPr>
            <w:tcW w:w="48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Retours terrain et modifications (§6.3)</w:t>
            </w:r>
          </w:p>
        </w:tc>
        <w:tc>
          <w:tcPr>
            <w:tcW w:w="269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Tous les processus</w:t>
            </w:r>
          </w:p>
        </w:tc>
        <w:tc>
          <w:tcPr>
            <w:tcW w:w="212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05" w:name="_Toc7000005"/>
      <w:r>
        <w:t xml:space="preserve">6. Éléments de sortie</w:t>
      </w:r>
      <w:bookmarkEnd w:id="970005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4820"/>
        <w:gridCol w:w="2696"/>
        <w:gridCol w:w="2122"/>
      </w:tblGrid>
      <w:tr>
        <w:trPr>
          <w:tblHeader/>
          <w:cantSplit/>
        </w:trPr>
        <w:tc>
          <w:tcPr>
            <w:tcW w:w="482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Élément de sortie</w:t>
            </w:r>
          </w:p>
        </w:tc>
        <w:tc>
          <w:tcPr>
            <w:tcW w:w="269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Destination</w:t>
            </w:r>
          </w:p>
        </w:tc>
        <w:tc>
          <w:tcPr>
            <w:tcW w:w="212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</w:tr>
      <w:tr>
        <w:trPr>
          <w:cantSplit/>
        </w:trPr>
        <w:tc>
          <w:tcPr>
            <w:tcW w:w="48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des aspects et impacts (analyse environnementale)</w:t>
            </w:r>
          </w:p>
        </w:tc>
        <w:tc>
          <w:tcPr>
            <w:tcW w:w="269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Tous les processus</w:t>
            </w:r>
          </w:p>
        </w:tc>
        <w:tc>
          <w:tcPr>
            <w:tcW w:w="212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S-ASP-001</w:t>
            </w:r>
          </w:p>
        </w:tc>
      </w:tr>
      <w:tr>
        <w:trPr>
          <w:cantSplit/>
        </w:trPr>
        <w:tc>
          <w:tcPr>
            <w:tcW w:w="48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Liste des aspects environnementaux significatifs</w:t>
            </w:r>
          </w:p>
        </w:tc>
        <w:tc>
          <w:tcPr>
            <w:tcW w:w="269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PM-DIR / PC-OPS</w:t>
            </w:r>
          </w:p>
        </w:tc>
        <w:tc>
          <w:tcPr>
            <w:tcW w:w="212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S-ASP-001</w:t>
            </w:r>
          </w:p>
        </w:tc>
      </w:tr>
      <w:tr>
        <w:trPr>
          <w:cantSplit/>
        </w:trPr>
        <w:tc>
          <w:tcPr>
            <w:tcW w:w="48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Critères de significativité</w:t>
            </w:r>
          </w:p>
        </w:tc>
        <w:tc>
          <w:tcPr>
            <w:tcW w:w="269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PM-AME</w:t>
            </w:r>
          </w:p>
        </w:tc>
        <w:tc>
          <w:tcPr>
            <w:tcW w:w="212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PR-ASP-001</w:t>
            </w:r>
          </w:p>
        </w:tc>
      </w:tr>
      <w:tr>
        <w:trPr>
          <w:cantSplit/>
        </w:trPr>
        <w:tc>
          <w:tcPr>
            <w:tcW w:w="48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Besoins de maîtrise et d'objectifs</w:t>
            </w:r>
          </w:p>
        </w:tc>
        <w:tc>
          <w:tcPr>
            <w:tcW w:w="269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PC-OPS / PM-DIR</w:t>
            </w:r>
          </w:p>
        </w:tc>
        <w:tc>
          <w:tcPr>
            <w:tcW w:w="212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06" w:name="_Toc7000006"/>
      <w:r>
        <w:t xml:space="preserve">7. Activités clés</w:t>
      </w:r>
      <w:bookmarkEnd w:id="970006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578"/>
        <w:gridCol w:w="2506"/>
        <w:gridCol w:w="5011"/>
        <w:gridCol w:w="1543"/>
      </w:tblGrid>
      <w:tr>
        <w:trPr>
          <w:tblHeader/>
          <w:cantSplit/>
        </w:trPr>
        <w:tc>
          <w:tcPr>
            <w:tcW w:w="57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250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Activité</w:t>
            </w:r>
          </w:p>
        </w:tc>
        <w:tc>
          <w:tcPr>
            <w:tcW w:w="501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w="154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Réf. ISO</w:t>
            </w:r>
          </w:p>
        </w:tc>
      </w:tr>
      <w:tr>
        <w:trPr>
          <w:cantSplit/>
        </w:trPr>
        <w:tc>
          <w:tcPr>
            <w:tcW w:w="57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Analyser les activités, produits et services (cycle de vie)</w:t>
            </w:r>
          </w:p>
        </w:tc>
        <w:tc>
          <w:tcPr>
            <w:tcW w:w="501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Cartographier les activités et étapes du cycle de vie (matières, production, transport, usage, fin de vie) (§6.1.2).</w:t>
            </w:r>
          </w:p>
        </w:tc>
        <w:tc>
          <w:tcPr>
            <w:tcW w:w="154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§6.1.2</w:t>
            </w:r>
          </w:p>
        </w:tc>
      </w:tr>
      <w:tr>
        <w:trPr>
          <w:cantSplit/>
        </w:trPr>
        <w:tc>
          <w:tcPr>
            <w:tcW w:w="57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Identifier les aspects environnementaux</w:t>
            </w:r>
          </w:p>
        </w:tc>
        <w:tc>
          <w:tcPr>
            <w:tcW w:w="501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Recenser les aspects en conditions normales, anormales et d'urgence, ainsi que lors de changements (§6.1.2).</w:t>
            </w:r>
          </w:p>
        </w:tc>
        <w:tc>
          <w:tcPr>
            <w:tcW w:w="154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§6.1.2</w:t>
            </w:r>
          </w:p>
        </w:tc>
      </w:tr>
      <w:tr>
        <w:trPr>
          <w:cantSplit/>
        </w:trPr>
        <w:tc>
          <w:tcPr>
            <w:tcW w:w="57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Évaluer et coter les impacts environnementaux</w:t>
            </w:r>
          </w:p>
        </w:tc>
        <w:tc>
          <w:tcPr>
            <w:tcW w:w="501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Évaluer les impacts associés (air, eau, sol, ressources, déchets, biodiversité) selon une grille (§6.1.2).</w:t>
            </w:r>
          </w:p>
        </w:tc>
        <w:tc>
          <w:tcPr>
            <w:tcW w:w="154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§6.1.2</w:t>
            </w:r>
          </w:p>
        </w:tc>
      </w:tr>
      <w:tr>
        <w:trPr>
          <w:cantSplit/>
        </w:trPr>
        <w:tc>
          <w:tcPr>
            <w:tcW w:w="57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Déterminer les aspects significatifs</w:t>
            </w:r>
          </w:p>
        </w:tc>
        <w:tc>
          <w:tcPr>
            <w:tcW w:w="501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Appliquer les critères établis pour identifier les aspects significatifs (§6.1.2).</w:t>
            </w:r>
          </w:p>
        </w:tc>
        <w:tc>
          <w:tcPr>
            <w:tcW w:w="154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§6.1.2</w:t>
            </w:r>
          </w:p>
        </w:tc>
      </w:tr>
      <w:tr>
        <w:trPr>
          <w:cantSplit/>
        </w:trPr>
        <w:tc>
          <w:tcPr>
            <w:tcW w:w="57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250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Communiquer les aspects significatifs</w:t>
            </w:r>
          </w:p>
        </w:tc>
        <w:tc>
          <w:tcPr>
            <w:tcW w:w="501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Diffuser les aspects significatifs aux niveaux et fonctions concernés (§6.1.2).</w:t>
            </w:r>
          </w:p>
        </w:tc>
        <w:tc>
          <w:tcPr>
            <w:tcW w:w="154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§6.1.2</w:t>
            </w:r>
          </w:p>
        </w:tc>
      </w:tr>
      <w:tr>
        <w:trPr>
          <w:cantSplit/>
        </w:trPr>
        <w:tc>
          <w:tcPr>
            <w:tcW w:w="57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250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Actualiser périodiquement l'analyse</w:t>
            </w:r>
          </w:p>
        </w:tc>
        <w:tc>
          <w:tcPr>
            <w:tcW w:w="501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Réviser l'analyse lors de changements ou périodiquement (§6.1.2 / §6.3).</w:t>
            </w:r>
          </w:p>
        </w:tc>
        <w:tc>
          <w:tcPr>
            <w:tcW w:w="154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§6.3</w:t>
            </w:r>
          </w:p>
        </w:tc>
      </w:tr>
    </w:tbl>
    <w:p>
      <w:pPr>
        <w:spacing w:before="0" w:after="0"/>
      </w:pPr>
    </w:p>
    <w:p>
      <w:r>
        <w:t xml:space="preserve">Logigramme du processus : PC-ASP</w:t>
      </w:r>
    </w:p>
    <w:p>
      <w:pPr>
        <w:pStyle w:val="Normal"/>
        <w:spacing w:before="0" w:after="60"/>
        <w:jc w:val="center"/>
        <w:rPr/>
      </w:pPr>
      <w:r>
        <w:rPr/>
        <w:drawing>
          <wp:inline distT="0" distB="0" distL="0" distR="0">
            <wp:extent cx="5400040" cy="6638147"/>
            <wp:effectExtent l="0" t="0" r="0" b="0"/>
            <wp:docPr id="1" name="Logigramme"/>
            <wp:cNvGraphicFramePr/>
            <a:graphic xmlns:a="http://schemas.openxmlformats.org/drawingml/2006/main"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00040" cy="6638147"/>
                      <a:chOff x="0" y="0"/>
                      <a:chExt cx="5400040" cy="6638147"/>
                    </a:xfrm>
                  </wpg:grpSpPr>
                  <wps:wsp>
                    <wps:cNvPr id="2" name="etiquette2"/>
                    <wps:cNvSpPr/>
                    <wps:spPr>
                      <a:xfrm>
                        <a:off x="0" y="25412"/>
                        <a:ext cx="5400040" cy="208741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1F4E79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hAnsi="Arial" w:cs="Arial"/>
                              <w:color w:val="1F4E79"/>
                              <w:sz w:val="23"/>
                              <w:szCs w:val="23"/>
                            </w:rPr>
                            <w:t xml:space="preserve">Processus PC-ASP : Identification et évaluation des aspects et impacts (§6.1.2)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3" name="lien3"/>
                    <wps:cNvSpPr/>
                    <wps:spPr>
                      <a:xfrm>
                        <a:off x="1688624" y="914921"/>
                        <a:ext cx="1" cy="193948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4" name="lien4"/>
                    <wps:cNvSpPr/>
                    <wps:spPr>
                      <a:xfrm>
                        <a:off x="1688624" y="1108869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5" name="lien5"/>
                    <wps:cNvSpPr/>
                    <wps:spPr>
                      <a:xfrm>
                        <a:off x="1688624" y="1642883"/>
                        <a:ext cx="1" cy="190952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6" name="lien6"/>
                    <wps:cNvSpPr/>
                    <wps:spPr>
                      <a:xfrm>
                        <a:off x="1688624" y="1833835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7" name="lien7"/>
                    <wps:cNvSpPr/>
                    <wps:spPr>
                      <a:xfrm>
                        <a:off x="1688624" y="2367214"/>
                        <a:ext cx="1" cy="191770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8" name="lien8"/>
                    <wps:cNvSpPr/>
                    <wps:spPr>
                      <a:xfrm>
                        <a:off x="1688624" y="2558984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9" name="lien9"/>
                    <wps:cNvSpPr/>
                    <wps:spPr>
                      <a:xfrm>
                        <a:off x="2487558" y="2808202"/>
                        <a:ext cx="1012575" cy="1"/>
                      </a:xfrm>
                      <a:prstGeom prst="line">
                        <a:avLst/>
                      </a:prstGeom>
                      <a:ln w="9525">
                        <a:solidFill>
                          <a:srgbClr val="C77F00"/>
                        </a:solidFill>
                        <a:prstDash val="dash"/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0" name="lien10"/>
                    <wps:cNvSpPr/>
                    <wps:spPr>
                      <a:xfrm>
                        <a:off x="1688624" y="2967209"/>
                        <a:ext cx="1" cy="191678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1" name="lien11"/>
                    <wps:cNvSpPr/>
                    <wps:spPr>
                      <a:xfrm>
                        <a:off x="1688624" y="3158887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2" name="lien12"/>
                    <wps:cNvSpPr/>
                    <wps:spPr>
                      <a:xfrm>
                        <a:off x="1579716" y="3861074"/>
                        <a:ext cx="1" cy="223081"/>
                      </a:xfrm>
                      <a:prstGeom prst="line">
                        <a:avLst/>
                      </a:prstGeom>
                      <a:ln w="9525">
                        <a:solidFill>
                          <a:srgbClr val="2D7D2D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3" name="lien13"/>
                    <wps:cNvSpPr/>
                    <wps:spPr>
                      <a:xfrm>
                        <a:off x="1579716" y="4084155"/>
                        <a:ext cx="6716" cy="19285"/>
                      </a:xfrm>
                      <a:prstGeom prst="line">
                        <a:avLst/>
                      </a:prstGeom>
                      <a:ln w="9525">
                        <a:solidFill>
                          <a:srgbClr val="2D7D2D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4" name="etiquette14"/>
                    <wps:cNvSpPr/>
                    <wps:spPr>
                      <a:xfrm>
                        <a:off x="1333038" y="3929051"/>
                        <a:ext cx="275538" cy="190589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D7D2D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2D7D2D"/>
                              <w:sz w:val="20"/>
                              <w:szCs w:val="20"/>
                            </w:rPr>
                            <w:t xml:space="preserve">Oui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15" name="lien15"/>
                    <wps:cNvSpPr/>
                    <wps:spPr>
                      <a:xfrm>
                        <a:off x="2439638" y="3662044"/>
                        <a:ext cx="1" cy="1019292"/>
                      </a:xfrm>
                      <a:prstGeom prst="line">
                        <a:avLst/>
                      </a:prstGeom>
                      <a:ln w="9525">
                        <a:solidFill>
                          <a:srgbClr val="CC000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6" name="lien16"/>
                    <wps:cNvSpPr/>
                    <wps:spPr>
                      <a:xfrm>
                        <a:off x="2439638" y="4681336"/>
                        <a:ext cx="6716" cy="19285"/>
                      </a:xfrm>
                      <a:prstGeom prst="line">
                        <a:avLst/>
                      </a:prstGeom>
                      <a:ln w="9525">
                        <a:solidFill>
                          <a:srgbClr val="CC000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17" name="etiquette17"/>
                    <wps:cNvSpPr/>
                    <wps:spPr>
                      <a:xfrm>
                        <a:off x="2424391" y="3991946"/>
                        <a:ext cx="275538" cy="190589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CC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CC0000"/>
                              <w:sz w:val="20"/>
                              <w:szCs w:val="20"/>
                            </w:rPr>
                            <w:t xml:space="preserve">Non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18" name="lien18"/>
                    <wps:cNvSpPr/>
                    <wps:spPr>
                      <a:xfrm>
                        <a:off x="1663666" y="4490111"/>
                        <a:ext cx="1" cy="194764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19" name="lien19"/>
                    <wps:cNvSpPr/>
                    <wps:spPr>
                      <a:xfrm>
                        <a:off x="1663666" y="4684875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0" name="lien20"/>
                    <wps:cNvSpPr/>
                    <wps:spPr>
                      <a:xfrm>
                        <a:off x="1833835" y="5089107"/>
                        <a:ext cx="1" cy="194764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1" name="lien21"/>
                    <wps:cNvSpPr/>
                    <wps:spPr>
                      <a:xfrm>
                        <a:off x="1833835" y="5283871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2" name="lien22"/>
                    <wps:cNvSpPr/>
                    <wps:spPr>
                      <a:xfrm>
                        <a:off x="2614890" y="5530912"/>
                        <a:ext cx="274631" cy="1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3" name="lien23"/>
                    <wps:cNvSpPr/>
                    <wps:spPr>
                      <a:xfrm>
                        <a:off x="2889521" y="1419621"/>
                        <a:ext cx="1" cy="4111291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4" name="lien24"/>
                    <wps:cNvSpPr/>
                    <wps:spPr>
                      <a:xfrm>
                        <a:off x="2539925" y="1419621"/>
                        <a:ext cx="349596" cy="1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5" name="lien25"/>
                    <wps:cNvSpPr/>
                    <wps:spPr>
                      <a:xfrm flipV="1">
                        <a:off x="2520639" y="1419621"/>
                        <a:ext cx="19286" cy="6716"/>
                      </a:xfrm>
                      <a:prstGeom prst="line">
                        <a:avLst/>
                      </a:prstGeom>
                      <a:ln w="9525">
                        <a:solidFill>
                          <a:srgbClr val="7F7F7F"/>
                        </a:solidFill>
                        <a:prstDash val="dash"/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6" name="etiquette26"/>
                    <wps:cNvSpPr/>
                    <wps:spPr>
                      <a:xfrm>
                        <a:off x="2796222" y="3290757"/>
                        <a:ext cx="1248452" cy="163362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7F7F7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6"/>
                              <w:szCs w:val="16"/>
                            </w:rPr>
                            <w:t xml:space="preserve">Réévaluation périodique</w:t>
                          </w:r>
                        </w:p>
                      </w:txbxContent>
                    </wps:txbx>
                    <wps:bodyPr rot="0" anchor="ctr" anchorCtr="0" wrap="none" lIns="0" rIns="0" tIns="0" bIns="0">
                      <a:noAutofit/>
                    </wps:bodyPr>
                  </wps:wsp>
                  <wps:wsp>
                    <wps:cNvPr id="27" name="lien27"/>
                    <wps:cNvSpPr/>
                    <wps:spPr>
                      <a:xfrm>
                        <a:off x="1833835" y="5688647"/>
                        <a:ext cx="1" cy="192768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none"/>
                      </a:ln>
                    </wps:spPr>
                    <wps:bodyPr/>
                  </wps:wsp>
                  <wps:wsp>
                    <wps:cNvPr id="28" name="lien28"/>
                    <wps:cNvSpPr/>
                    <wps:spPr>
                      <a:xfrm>
                        <a:off x="1833835" y="5881415"/>
                        <a:ext cx="6716" cy="19286"/>
                      </a:xfrm>
                      <a:prstGeom prst="line">
                        <a:avLst/>
                      </a:prstGeom>
                      <a:ln w="9525">
                        <a:solidFill>
                          <a:srgbClr val="404040"/>
                        </a:solidFill>
                        <a:headEnd type="none"/>
                        <a:tailEnd type="triangle" w="med" len="med"/>
                      </a:ln>
                    </wps:spPr>
                    <wps:bodyPr/>
                  </wps:wsp>
                  <wps:wsp>
                    <wps:cNvPr id="29" name="etape29"/>
                    <wps:cNvSpPr/>
                    <wps:spPr>
                      <a:xfrm>
                        <a:off x="749471" y="273542"/>
                        <a:ext cx="1878306" cy="639110"/>
                      </a:xfrm>
                      <a:prstGeom prst="ellipse">
                        <a:avLst/>
                      </a:prstGeom>
                      <a:solidFill>
                        <a:srgbClr val="C5E0B4"/>
                      </a:solidFill>
                      <a:ln w="19050">
                        <a:solidFill>
                          <a:srgbClr val="4F9B3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9"/>
                              <w:szCs w:val="19"/>
                            </w:rPr>
                            <w:t xml:space="preserve">Nouvelle activité,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9"/>
                              <w:szCs w:val="19"/>
                            </w:rPr>
                            <w:t xml:space="preserve">changement ou revue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9"/>
                              <w:szCs w:val="19"/>
                            </w:rPr>
                            <w:t xml:space="preserve">périodique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0" name="etape30"/>
                    <wps:cNvSpPr/>
                    <wps:spPr>
                      <a:xfrm>
                        <a:off x="917190" y="1186284"/>
                        <a:ext cx="1542869" cy="453785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Analyser activités,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produits &amp; services (cycle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5"/>
                              <w:szCs w:val="15"/>
                            </w:rPr>
                            <w:t xml:space="preserve">de vie, §6.1.2)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1" name="etape31"/>
                    <wps:cNvSpPr/>
                    <wps:spPr>
                      <a:xfrm>
                        <a:off x="976182" y="1912340"/>
                        <a:ext cx="1424885" cy="453785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Identifier les aspects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(normales / anormales /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urgence)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2" name="etape32"/>
                    <wps:cNvSpPr/>
                    <wps:spPr>
                      <a:xfrm>
                        <a:off x="889963" y="2638396"/>
                        <a:ext cx="1597323" cy="326725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  <w:t xml:space="preserve">Évaluer et coter les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  <w:t xml:space="preserve">impacts environnementaux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3" name="etape33"/>
                    <wps:cNvSpPr/>
                    <wps:spPr>
                      <a:xfrm>
                        <a:off x="3503764" y="2638396"/>
                        <a:ext cx="1270597" cy="326725"/>
                      </a:xfrm>
                      <a:prstGeom prst="foldedCorner">
                        <a:avLst/>
                      </a:prstGeom>
                      <a:solidFill>
                        <a:srgbClr val="F5A623"/>
                      </a:solidFill>
                      <a:ln w="9525">
                        <a:solidFill>
                          <a:srgbClr val="C77F00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4A2E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4A2E00"/>
                              <w:sz w:val="14"/>
                              <w:szCs w:val="14"/>
                            </w:rPr>
                            <w:t xml:space="preserve">Registre des aspects &amp;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4A2E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4A2E00"/>
                              <w:sz w:val="14"/>
                              <w:szCs w:val="14"/>
                            </w:rPr>
                            <w:t xml:space="preserve">impacts (S-ASP-001)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4" name="etape34"/>
                    <wps:cNvSpPr/>
                    <wps:spPr>
                      <a:xfrm>
                        <a:off x="624590" y="3237392"/>
                        <a:ext cx="2128069" cy="653450"/>
                      </a:xfrm>
                      <a:prstGeom prst="flowChartDecision">
                        <a:avLst/>
                      </a:prstGeom>
                      <a:solidFill>
                        <a:srgbClr val="E91E8C"/>
                      </a:solidFill>
                      <a:ln w="9525">
                        <a:solidFill>
                          <a:srgbClr val="B0146B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  <w:t xml:space="preserve">Aspect environnemental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4"/>
                              <w:szCs w:val="14"/>
                            </w:rPr>
                            <w:t xml:space="preserve">significatif ?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5" name="etape35"/>
                    <wps:cNvSpPr/>
                    <wps:spPr>
                      <a:xfrm>
                        <a:off x="889963" y="4163113"/>
                        <a:ext cx="1379506" cy="326725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  <w:t xml:space="preserve">Déterminer besoins de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7"/>
                              <w:szCs w:val="17"/>
                            </w:rPr>
                            <w:t xml:space="preserve">maîtrise &amp; objectifs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6" name="etape36"/>
                    <wps:cNvSpPr/>
                    <wps:spPr>
                      <a:xfrm>
                        <a:off x="1057863" y="4762109"/>
                        <a:ext cx="1551945" cy="326725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8"/>
                              <w:szCs w:val="18"/>
                            </w:rPr>
                            <w:t xml:space="preserve">Communiquer les aspects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8"/>
                              <w:szCs w:val="18"/>
                            </w:rPr>
                            <w:t xml:space="preserve">significatifs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7" name="etape37"/>
                    <wps:cNvSpPr/>
                    <wps:spPr>
                      <a:xfrm>
                        <a:off x="1053325" y="5361105"/>
                        <a:ext cx="1561020" cy="326725"/>
                      </a:xfrm>
                      <a:prstGeom prst="roundRect">
                        <a:avLst/>
                      </a:prstGeom>
                      <a:solidFill>
                        <a:srgbClr val="0078D4"/>
                      </a:solidFill>
                      <a:ln w="9525">
                        <a:solidFill>
                          <a:srgbClr val="005A9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Actualiser périodiquement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16"/>
                              <w:szCs w:val="16"/>
                            </w:rPr>
                            <w:t xml:space="preserve">l'analyse (§6.3)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  <wps:wsp>
                    <wps:cNvPr id="38" name="etape38"/>
                    <wps:cNvSpPr/>
                    <wps:spPr>
                      <a:xfrm>
                        <a:off x="640018" y="5961372"/>
                        <a:ext cx="2387635" cy="639111"/>
                      </a:xfrm>
                      <a:prstGeom prst="ellipse">
                        <a:avLst/>
                      </a:prstGeom>
                      <a:solidFill>
                        <a:srgbClr val="C5E0B4"/>
                      </a:solidFill>
                      <a:ln w="19050">
                        <a:solidFill>
                          <a:srgbClr val="4F9B3E"/>
                        </a:solidFill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Analyse environnementale à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jour &amp; aspects</w:t>
                          </w:r>
                        </w:p>
                        <w:p>
                          <w:pPr>
                            <w:jc w:val="center"/>
                            <w:spacing w:before="0" w:after="0" w:line="240" w:lineRule="auto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significatifs</w:t>
                          </w:r>
                        </w:p>
                      </w:txbxContent>
                    </wps:txbx>
                    <wps:bodyPr rot="0" anchor="ctr" anchorCtr="0" lIns="27432" rIns="27432" tIns="9144" bIns="9144">
                      <a:noAutofit/>
                    </wps:bodyPr>
                  </wps:wsp>
                </wpg:wgp>
              </a:graphicData>
            </a:graphic>
          </wp:inline>
        </w:drawing>
      </w:r>
    </w:p>
    <w:p>
      <w:r>
        <w:t xml:space="preserve">Légende : ovale vert : entrée/sortie · rectangle bleu : activité · losange rose : décision · flèche verte : Oui · flèche rouge : Non.</w:t>
      </w:r>
    </w:p>
    <w:p>
      <w:pPr>
        <w:pStyle w:val="Heading1"/>
      </w:pPr>
      <w:bookmarkStart w:id="970007" w:name="_Toc7000007"/>
      <w:r>
        <w:t xml:space="preserve">8. Interactions du processus</w:t>
      </w:r>
      <w:bookmarkEnd w:id="970007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120"/>
        <w:gridCol w:w="1542"/>
        <w:gridCol w:w="5976"/>
      </w:tblGrid>
      <w:tr>
        <w:trPr>
          <w:tblHeader/>
          <w:cantSplit/>
        </w:trPr>
        <w:tc>
          <w:tcPr>
            <w:tcW w:w="212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 / Vers</w:t>
            </w:r>
          </w:p>
        </w:tc>
        <w:tc>
          <w:tcPr>
            <w:tcW w:w="154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Processus</w:t>
            </w:r>
          </w:p>
        </w:tc>
        <w:tc>
          <w:tcPr>
            <w:tcW w:w="597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Nature de l’interaction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PC-ASP ⇄ PM-DIR</w:t>
            </w:r>
          </w:p>
        </w:tc>
        <w:tc>
          <w:tcPr>
            <w:tcW w:w="154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PM-DIR</w:t>
            </w:r>
          </w:p>
        </w:tc>
        <w:tc>
          <w:tcPr>
            <w:tcW w:w="59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Fournit les aspects significatifs pour fixer les objectifs.</w:t>
            </w:r>
          </w:p>
        </w:tc>
      </w:tr>
      <w:tr>
        <w:trPr>
          <w:cantSplit/>
        </w:trPr>
        <w:tc>
          <w:tcPr>
            <w:tcW w:w="21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PC-ASP ⇄ PC-OPS</w:t>
            </w:r>
          </w:p>
        </w:tc>
        <w:tc>
          <w:tcPr>
            <w:tcW w:w="154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PC-OPS</w:t>
            </w:r>
          </w:p>
        </w:tc>
        <w:tc>
          <w:tcPr>
            <w:tcW w:w="59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Les aspects significatifs déterminent les activités à maîtriser.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PC-ASP ⇄ PS-REG</w:t>
            </w:r>
          </w:p>
        </w:tc>
        <w:tc>
          <w:tcPr>
            <w:tcW w:w="154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PS-REG</w:t>
            </w:r>
          </w:p>
        </w:tc>
        <w:tc>
          <w:tcPr>
            <w:tcW w:w="59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Les exigences légales alimentent l'évaluation des aspects.</w:t>
            </w:r>
          </w:p>
        </w:tc>
      </w:tr>
      <w:tr>
        <w:trPr>
          <w:cantSplit/>
        </w:trPr>
        <w:tc>
          <w:tcPr>
            <w:tcW w:w="21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PC-ASP ⇄ PS-RES</w:t>
            </w:r>
          </w:p>
        </w:tc>
        <w:tc>
          <w:tcPr>
            <w:tcW w:w="154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PS-RES</w:t>
            </w:r>
          </w:p>
        </w:tc>
        <w:tc>
          <w:tcPr>
            <w:tcW w:w="59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Les flux de déchets/rejets sont des aspects à coter.</w:t>
            </w:r>
          </w:p>
        </w:tc>
      </w:tr>
      <w:tr>
        <w:trPr>
          <w:cantSplit/>
        </w:trPr>
        <w:tc>
          <w:tcPr>
            <w:tcW w:w="212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PC-ASP ⇄ PC-URG</w:t>
            </w:r>
          </w:p>
        </w:tc>
        <w:tc>
          <w:tcPr>
            <w:tcW w:w="154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PC-URG</w:t>
            </w:r>
          </w:p>
        </w:tc>
        <w:tc>
          <w:tcPr>
            <w:tcW w:w="59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Les aspects en conditions d'urgence alimentent les plans.</w:t>
            </w:r>
          </w:p>
        </w:tc>
      </w:tr>
      <w:tr>
        <w:trPr>
          <w:cantSplit/>
        </w:trPr>
        <w:tc>
          <w:tcPr>
            <w:tcW w:w="212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PC-ASP ⇄ PS-ACH</w:t>
            </w:r>
          </w:p>
        </w:tc>
        <w:tc>
          <w:tcPr>
            <w:tcW w:w="154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PS-ACH</w:t>
            </w:r>
          </w:p>
        </w:tc>
        <w:tc>
          <w:tcPr>
            <w:tcW w:w="59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Les aspects amont orientent les exigences d'achat.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08" w:name="_Toc7000008"/>
      <w:r>
        <w:t xml:space="preserve">9. Indicateurs de performance</w:t>
      </w:r>
      <w:bookmarkEnd w:id="970008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505"/>
        <w:gridCol w:w="2891"/>
        <w:gridCol w:w="1542"/>
        <w:gridCol w:w="1157"/>
        <w:gridCol w:w="1543"/>
      </w:tblGrid>
      <w:tr>
        <w:trPr>
          <w:tblHeader/>
          <w:cantSplit/>
        </w:trPr>
        <w:tc>
          <w:tcPr>
            <w:tcW w:w="2505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Indicateur</w:t>
            </w:r>
          </w:p>
        </w:tc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Formule / méthode</w:t>
            </w:r>
          </w:p>
        </w:tc>
        <w:tc>
          <w:tcPr>
            <w:tcW w:w="154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Fréquence</w:t>
            </w:r>
          </w:p>
        </w:tc>
        <w:tc>
          <w:tcPr>
            <w:tcW w:w="1157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Cible</w:t>
            </w:r>
          </w:p>
        </w:tc>
        <w:tc>
          <w:tcPr>
            <w:tcW w:w="154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Pilote</w:t>
            </w:r>
          </w:p>
        </w:tc>
      </w:tr>
      <w:tr>
        <w:trPr>
          <w:cantSplit/>
        </w:trPr>
        <w:tc>
          <w:tcPr>
            <w:tcW w:w="250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Couverture de l'analyse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Activités analysées / total</w:t>
            </w:r>
          </w:p>
        </w:tc>
        <w:tc>
          <w:tcPr>
            <w:tcW w:w="154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Annuelle</w:t>
            </w:r>
          </w:p>
        </w:tc>
        <w:tc>
          <w:tcPr>
            <w:tcW w:w="115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100 %</w:t>
            </w:r>
          </w:p>
        </w:tc>
        <w:tc>
          <w:tcPr>
            <w:tcW w:w="154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</w:tr>
      <w:tr>
        <w:trPr>
          <w:cantSplit/>
        </w:trPr>
        <w:tc>
          <w:tcPr>
            <w:tcW w:w="2505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Mise à jour de l'analyse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Analyses à jour / requises</w:t>
            </w:r>
          </w:p>
        </w:tc>
        <w:tc>
          <w:tcPr>
            <w:tcW w:w="154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Annuelle</w:t>
            </w:r>
          </w:p>
        </w:tc>
        <w:tc>
          <w:tcPr>
            <w:tcW w:w="1157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100 %</w:t>
            </w:r>
          </w:p>
        </w:tc>
        <w:tc>
          <w:tcPr>
            <w:tcW w:w="154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</w:tr>
      <w:tr>
        <w:trPr>
          <w:cantSplit/>
        </w:trPr>
        <w:tc>
          <w:tcPr>
            <w:tcW w:w="250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Maîtrise des aspects significatifs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Aspects significatifs maîtrisés / total</w:t>
            </w:r>
          </w:p>
        </w:tc>
        <w:tc>
          <w:tcPr>
            <w:tcW w:w="154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Semestrielle</w:t>
            </w:r>
          </w:p>
        </w:tc>
        <w:tc>
          <w:tcPr>
            <w:tcW w:w="115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100 %</w:t>
            </w:r>
          </w:p>
        </w:tc>
        <w:tc>
          <w:tcPr>
            <w:tcW w:w="154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Resp. environnement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09" w:name="_Toc7000009"/>
      <w:r>
        <w:t xml:space="preserve">10. Risques et points de maîtrise</w:t>
      </w:r>
      <w:bookmarkEnd w:id="970009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891"/>
        <w:gridCol w:w="2891"/>
        <w:gridCol w:w="3856"/>
      </w:tblGrid>
      <w:tr>
        <w:trPr>
          <w:tblHeader/>
          <w:cantSplit/>
        </w:trPr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Risque</w:t>
            </w:r>
          </w:p>
        </w:tc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Impact</w:t>
            </w:r>
          </w:p>
        </w:tc>
        <w:tc>
          <w:tcPr>
            <w:tcW w:w="385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Maîtrise / mesure</w:t>
            </w:r>
          </w:p>
        </w:tc>
      </w:tr>
      <w:tr>
        <w:trPr>
          <w:cantSplit/>
        </w:trPr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Aspects oubliés (cycle de vie incomplet)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Impacts non maîtrisés</w:t>
            </w:r>
          </w:p>
        </w:tc>
        <w:tc>
          <w:tcPr>
            <w:tcW w:w="385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Perspective cycle de vie systématique (§6.1.2)</w:t>
            </w:r>
          </w:p>
        </w:tc>
      </w:tr>
      <w:tr>
        <w:trPr>
          <w:cantSplit/>
        </w:trPr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Cotation subjective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Priorisation erronée</w:t>
            </w:r>
          </w:p>
        </w:tc>
        <w:tc>
          <w:tcPr>
            <w:tcW w:w="385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Grille de cotation documentée et pluridisciplinaire</w:t>
            </w:r>
          </w:p>
        </w:tc>
      </w:tr>
      <w:tr>
        <w:trPr>
          <w:cantSplit/>
        </w:trPr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Analyse non actualisée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Décalage avec la réalité</w:t>
            </w:r>
          </w:p>
        </w:tc>
        <w:tc>
          <w:tcPr>
            <w:tcW w:w="385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Révision à chaque changement (§6.3)</w:t>
            </w:r>
          </w:p>
        </w:tc>
      </w:tr>
      <w:tr>
        <w:trPr>
          <w:cantSplit/>
        </w:trPr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Aspects significatifs non communiqués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Maîtrise insuffisante</w:t>
            </w:r>
          </w:p>
        </w:tc>
        <w:tc>
          <w:tcPr>
            <w:tcW w:w="385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Diffusion aux fonctions concernées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10" w:name="_Toc7000010"/>
      <w:r>
        <w:t xml:space="preserve">11. Documents et enregistrements associés</w:t>
      </w:r>
      <w:bookmarkEnd w:id="970010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4432"/>
        <w:gridCol w:w="2315"/>
        <w:gridCol w:w="2891"/>
      </w:tblGrid>
      <w:tr>
        <w:trPr>
          <w:tblHeader/>
          <w:cantSplit/>
        </w:trPr>
        <w:tc>
          <w:tcPr>
            <w:tcW w:w="443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Titre du document</w:t>
            </w:r>
          </w:p>
        </w:tc>
        <w:tc>
          <w:tcPr>
            <w:tcW w:w="2315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  <w:tc>
          <w:tcPr>
            <w:tcW w:w="28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Archivage / type</w:t>
            </w:r>
          </w:p>
        </w:tc>
      </w:tr>
      <w:tr>
        <w:trPr>
          <w:cantSplit/>
        </w:trPr>
        <w:tc>
          <w:tcPr>
            <w:tcW w:w="443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Analyse environnementale (procédure)</w:t>
            </w:r>
          </w:p>
        </w:tc>
        <w:tc>
          <w:tcPr>
            <w:tcW w:w="231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PR-ASP-001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Procédure</w:t>
            </w:r>
          </w:p>
        </w:tc>
      </w:tr>
      <w:tr>
        <w:trPr>
          <w:cantSplit/>
        </w:trPr>
        <w:tc>
          <w:tcPr>
            <w:tcW w:w="443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des aspects et impacts</w:t>
            </w:r>
          </w:p>
        </w:tc>
        <w:tc>
          <w:tcPr>
            <w:tcW w:w="2315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S-ASP-001</w:t>
            </w:r>
          </w:p>
        </w:tc>
        <w:tc>
          <w:tcPr>
            <w:tcW w:w="28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(Excel)</w:t>
            </w:r>
          </w:p>
        </w:tc>
      </w:tr>
      <w:tr>
        <w:trPr>
          <w:cantSplit/>
        </w:trPr>
        <w:tc>
          <w:tcPr>
            <w:tcW w:w="443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des exigences légales</w:t>
            </w:r>
          </w:p>
        </w:tc>
        <w:tc>
          <w:tcPr>
            <w:tcW w:w="231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S-LEG-001</w:t>
            </w:r>
          </w:p>
        </w:tc>
        <w:tc>
          <w:tcPr>
            <w:tcW w:w="28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 (Excel)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11" w:name="_Toc7000011"/>
      <w:r>
        <w:t xml:space="preserve">12. Historique des révisions</w:t>
      </w:r>
      <w:bookmarkEnd w:id="970011"/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962"/>
        <w:gridCol w:w="1929"/>
        <w:gridCol w:w="2314"/>
        <w:gridCol w:w="4433"/>
      </w:tblGrid>
      <w:tr>
        <w:trPr>
          <w:tblHeader/>
          <w:cantSplit/>
        </w:trPr>
        <w:tc>
          <w:tcPr>
            <w:tcW w:w="96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Rév.</w:t>
            </w:r>
          </w:p>
        </w:tc>
        <w:tc>
          <w:tcPr>
            <w:tcW w:w="192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w="2314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Auteur</w:t>
            </w:r>
          </w:p>
        </w:tc>
        <w:tc>
          <w:tcPr>
            <w:tcW w:w="443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Description de la modification</w:t>
            </w:r>
          </w:p>
        </w:tc>
      </w:tr>
      <w:tr>
        <w:trPr>
          <w:cantSplit/>
        </w:trPr>
        <w:tc>
          <w:tcPr>
            <w:tcW w:w="96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1.0</w:t>
            </w:r>
          </w:p>
        </w:tc>
        <w:tc>
          <w:tcPr>
            <w:tcW w:w="192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Juillet 2026</w:t>
            </w:r>
          </w:p>
        </w:tc>
        <w:tc>
          <w:tcPr>
            <w:tcW w:w="2314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[Nom organisation]</w:t>
            </w:r>
          </w:p>
        </w:tc>
        <w:tc>
          <w:tcPr>
            <w:tcW w:w="443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Création initiale. Fiche de processus au format approche processus (§4.4), ISO 14001:2026.</w:t>
            </w:r>
          </w:p>
        </w:tc>
      </w:tr>
    </w:tbl>
    <w:p>
      <w:pPr>
        <w:spacing w:before="0" w:after="0"/>
      </w:pPr>
    </w:p>
    <w:p>
      <w:pPr>
        <w:pStyle w:val="Heading1"/>
      </w:pPr>
      <w:bookmarkStart w:id="970012" w:name="_Toc7000012"/>
      <w:r>
        <w:t xml:space="preserve">13. Approbation du document</w:t>
      </w:r>
      <w:bookmarkEnd w:id="970012"/>
    </w:p>
    <w:p>
      <w:r>
        <w:t xml:space="preserve">Ce document a été vérifié et approuvé par les signataires autorisés ci-dessous.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312"/>
        <w:gridCol w:w="2893"/>
        <w:gridCol w:w="2507"/>
        <w:gridCol w:w="1926"/>
      </w:tblGrid>
      <w:tr>
        <w:trPr>
          <w:tblHeader/>
          <w:cantSplit/>
        </w:trPr>
        <w:tc>
          <w:tcPr>
            <w:tcW w:w="2312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w="289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Nom</w:t>
            </w:r>
          </w:p>
        </w:tc>
        <w:tc>
          <w:tcPr>
            <w:tcW w:w="2507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w="192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cantSplit/>
        </w:trPr>
        <w:tc>
          <w:tcPr>
            <w:tcW w:w="231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Rédacteur</w:t>
            </w:r>
          </w:p>
        </w:tc>
        <w:tc>
          <w:tcPr>
            <w:tcW w:w="289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[Nom organisation]</w:t>
            </w:r>
          </w:p>
        </w:tc>
        <w:tc>
          <w:tcPr>
            <w:tcW w:w="250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  <w:tc>
          <w:tcPr>
            <w:tcW w:w="19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  <w:tr>
        <w:trPr>
          <w:cantSplit/>
        </w:trPr>
        <w:tc>
          <w:tcPr>
            <w:tcW w:w="2312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Vérificateur</w:t>
            </w:r>
          </w:p>
        </w:tc>
        <w:tc>
          <w:tcPr>
            <w:tcW w:w="289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  <w:tc>
          <w:tcPr>
            <w:tcW w:w="2507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  <w:tc>
          <w:tcPr>
            <w:tcW w:w="192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  <w:tr>
        <w:trPr>
          <w:cantSplit/>
        </w:trPr>
        <w:tc>
          <w:tcPr>
            <w:tcW w:w="2312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Approbateur</w:t>
            </w:r>
          </w:p>
        </w:tc>
        <w:tc>
          <w:tcPr>
            <w:tcW w:w="289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[À COMPLÉTER]</w:t>
            </w:r>
          </w:p>
        </w:tc>
        <w:tc>
          <w:tcPr>
            <w:tcW w:w="250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  <w:tc>
          <w:tcPr>
            <w:tcW w:w="19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-</w:t>
            </w:r>
          </w:p>
        </w:tc>
      </w:tr>
    </w:tbl>
    <w:p>
      <w:pPr>
        <w:spacing w:before="0" w:after="0"/>
      </w:pPr>
    </w:p>
    <w:p>
      <w:r>
        <w:t xml:space="preserve">Document contrôlé. Toute copie imprimée est réputée non maîtrisée : vérifiez la version en vigueur.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Fiche de processus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Identification et évaluation des aspects et impacts environnementaux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PC-ASP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uiPriority w:val="39"/>
    <w:pPr>
      <w:spacing w:after="60"/>
      <w:ind w:left="0"/>
      <w:tabs>
        <w:tab w:val="right" w:leader="dot" w:pos="9638"/>
      </w:tabs>
    </w:pPr>
  </w:style>
  <w:style w:type="paragraph" w:styleId="TOC2">
    <w:name w:val="toc 2"/>
    <w:basedOn w:val="Normal"/>
    <w:next w:val="Normal"/>
    <w:uiPriority w:val="39"/>
    <w:pPr>
      <w:spacing w:after="60"/>
      <w:ind w:left="220"/>
      <w:tabs>
        <w:tab w:val="right" w:leader="dot" w:pos="9638"/>
      </w:tabs>
    </w:pPr>
  </w:style>
  <w:style w:type="paragraph" w:styleId="TOC3">
    <w:name w:val="toc 3"/>
    <w:basedOn w:val="Normal"/>
    <w:next w:val="Normal"/>
    <w:uiPriority w:val="39"/>
    <w:pPr>
      <w:spacing w:after="60"/>
      <w:ind w:left="440"/>
      <w:tabs>
        <w:tab w:val="right" w:leader="dot" w:pos="9638"/>
      </w:tabs>
    </w:pPr>
  </w:style>
  <w:style w:type="character" w:styleId="Hyperlink">
    <w:name w:val="Hyperlink"/>
    <w:uiPriority w:val="99"/>
    <w:rPr>
      <w:color w:val="0563C1"/>
      <w:u w:val="single"/>
    </w:r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Identification et évaluation des aspects et impacts environnementaux</dc:title>
  <dc:subject>Fiche de processus PC-ASP</dc:subject>
  <dc:creator>Hub Engineering Management Consulting</dc:creator>
  <cp:lastModifiedBy>Hub Engineering Management Consulting</cp:lastModifiedBy>
  <cp:keywords>PC-ASP</cp:keywords>
  <dc:description>Modele documentaire edite par HEMC, hem-consulting.com. A personnaliser par l'organisme utilisateur.</dc:description>
  <cp:category>Fiche de processus</cp:category>
  <cp:revision>1</cp:revision>
  <dcterms:created xsi:type="dcterms:W3CDTF">2026-08-13T00:00:00Z</dcterms:created>
  <dcterms:modified xsi:type="dcterms:W3CDTF">2026-08-13T00:00:00Z</dcterms:modified>
  <dc:language>fr-FR</dc:language>
</cp:coreProperties>
</file>