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body>
    <w:p>
      <w:r>
        <w:rPr>
          <w:color w:val="595959"/>
          <w:sz w:val="18"/>
          <w:szCs w:val="18"/>
        </w:rPr>
        <w:t xml:space="preserve">Système de Management Environnemental</w:t>
      </w:r>
    </w:p>
    <w:p>
      <w:pPr>
        <w:spacing w:before="240" w:after="80"/>
      </w:pPr>
      <w:r>
        <w:rPr>
          <w:b/>
          <w:color w:val="1F4E79"/>
          <w:sz w:val="32"/>
          <w:szCs w:val="32"/>
        </w:rPr>
        <w:t xml:space="preserve">Analyse environnementale : aspects et impacts</w:t>
      </w:r>
    </w:p>
    <w:p>
      <w:pPr>
        <w:spacing w:before="0" w:after="240"/>
      </w:pPr>
      <w:r>
        <w:rPr>
          <w:color w:val="595959"/>
          <w:sz w:val="18"/>
          <w:szCs w:val="18"/>
        </w:rPr>
        <w:t xml:space="preserve">Référence : PR-ASP-001 | Révision : 1.0 | Statut : Approuvé</w:t>
      </w:r>
    </w:p>
    <w:p>
      <w:pPr>
        <w:pStyle w:val="Heading1"/>
      </w:pPr>
      <w:r>
        <w:t xml:space="preserve">Contrôle documentaire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120"/>
        <w:gridCol w:w="2891"/>
        <w:gridCol w:w="2121"/>
        <w:gridCol w:w="2506"/>
      </w:tblGrid>
      <w:tr>
        <w:trPr>
          <w:tblHeader/>
          <w:cantSplit/>
        </w:trPr>
        <w:tc>
          <w:tcPr>
            <w:tcW w:w="212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Référence</w:t>
            </w:r>
          </w:p>
        </w:tc>
        <w:tc>
          <w:tcPr>
            <w:tcW w:w="289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PR-ASP-001</w:t>
            </w:r>
          </w:p>
        </w:tc>
        <w:tc>
          <w:tcPr>
            <w:tcW w:w="212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Révision</w:t>
            </w:r>
          </w:p>
        </w:tc>
        <w:tc>
          <w:tcPr>
            <w:tcW w:w="250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1.0</w:t>
            </w:r>
          </w:p>
        </w:tc>
      </w:tr>
      <w:tr>
        <w:trPr>
          <w:cantSplit/>
        </w:trPr>
        <w:tc>
          <w:tcPr>
            <w:tcW w:w="212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Pilote / Rédacteur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Responsable environnement</w:t>
            </w:r>
          </w:p>
        </w:tc>
        <w:tc>
          <w:tcPr>
            <w:tcW w:w="212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Date d'effet</w:t>
            </w:r>
          </w:p>
        </w:tc>
        <w:tc>
          <w:tcPr>
            <w:tcW w:w="250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[À COMPLÉTER]</w:t>
            </w:r>
          </w:p>
        </w:tc>
      </w:tr>
      <w:tr>
        <w:trPr>
          <w:cantSplit/>
        </w:trPr>
        <w:tc>
          <w:tcPr>
            <w:tcW w:w="212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Référence ISO</w:t>
            </w:r>
          </w:p>
        </w:tc>
        <w:tc>
          <w:tcPr>
            <w:tcW w:w="28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ISO 14001:2026 §6.1.2</w:t>
            </w:r>
          </w:p>
        </w:tc>
        <w:tc>
          <w:tcPr>
            <w:tcW w:w="212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Prochaine revue</w:t>
            </w:r>
          </w:p>
        </w:tc>
        <w:tc>
          <w:tcPr>
            <w:tcW w:w="250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[À COMPLÉTER]</w:t>
            </w:r>
          </w:p>
        </w:tc>
      </w:tr>
      <w:tr>
        <w:trPr>
          <w:cantSplit/>
        </w:trPr>
        <w:tc>
          <w:tcPr>
            <w:tcW w:w="212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Classification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Document contrôlé</w:t>
            </w:r>
          </w:p>
        </w:tc>
        <w:tc>
          <w:tcPr>
            <w:tcW w:w="212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Statut</w:t>
            </w:r>
          </w:p>
        </w:tc>
        <w:tc>
          <w:tcPr>
            <w:tcW w:w="250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Approuvé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1. Objet</w:t>
      </w:r>
    </w:p>
    <w:p>
      <w:r>
        <w:t xml:space="preserve">Définir les modalités d'identification des aspects environnementaux des activités, produits et services, d'évaluation de leurs impacts et de détermination des aspects significatifs, dans une perspective de cycle de vie (§6.1.2).</w:t>
      </w:r>
    </w:p>
    <w:p>
      <w:pPr>
        <w:pStyle w:val="Heading1"/>
      </w:pPr>
      <w:r>
        <w:t xml:space="preserve">2. Domaine d'application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l'ensemble des activités, produits et services dans le périmètre du SME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les conditions normales, anormales et les situations d'urgence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les étapes du cycle de vie que l'organisme maîtrise ou peut influencer</w:t>
      </w:r>
    </w:p>
    <w:p>
      <w:pPr>
        <w:pStyle w:val="Heading1"/>
      </w:pPr>
      <w:r>
        <w:t xml:space="preserve">3. Références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892"/>
        <w:gridCol w:w="6746"/>
      </w:tblGrid>
      <w:tr>
        <w:trPr>
          <w:tblHeader/>
          <w:cantSplit/>
        </w:trPr>
        <w:tc>
          <w:tcPr>
            <w:tcW w:w="289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Référence</w:t>
            </w:r>
          </w:p>
        </w:tc>
        <w:tc>
          <w:tcPr>
            <w:tcW w:w="674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Intitulé</w:t>
            </w:r>
          </w:p>
        </w:tc>
      </w:tr>
      <w:tr>
        <w:trPr>
          <w:cantSplit/>
        </w:trPr>
        <w:tc>
          <w:tcPr>
            <w:tcW w:w="289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ISO 14001:2026</w:t>
            </w:r>
          </w:p>
        </w:tc>
        <w:tc>
          <w:tcPr>
            <w:tcW w:w="674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Systèmes de management environnemental : Exigences</w:t>
            </w:r>
          </w:p>
        </w:tc>
      </w:tr>
      <w:tr>
        <w:trPr>
          <w:cantSplit/>
        </w:trPr>
        <w:tc>
          <w:tcPr>
            <w:tcW w:w="289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MAN-ENV-001</w:t>
            </w:r>
          </w:p>
        </w:tc>
        <w:tc>
          <w:tcPr>
            <w:tcW w:w="674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Manuel du SME</w:t>
            </w:r>
          </w:p>
        </w:tc>
      </w:tr>
      <w:tr>
        <w:trPr>
          <w:cantSplit/>
        </w:trPr>
        <w:tc>
          <w:tcPr>
            <w:tcW w:w="289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PO-ENV-001</w:t>
            </w:r>
          </w:p>
        </w:tc>
        <w:tc>
          <w:tcPr>
            <w:tcW w:w="674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Politique environnementale</w:t>
            </w:r>
          </w:p>
        </w:tc>
      </w:tr>
      <w:tr>
        <w:trPr>
          <w:cantSplit/>
        </w:trPr>
        <w:tc>
          <w:tcPr>
            <w:tcW w:w="289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S-ASP-001</w:t>
            </w:r>
          </w:p>
        </w:tc>
        <w:tc>
          <w:tcPr>
            <w:tcW w:w="674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Registre des aspects et impacts</w:t>
            </w:r>
          </w:p>
        </w:tc>
      </w:tr>
      <w:tr>
        <w:trPr>
          <w:cantSplit/>
        </w:trPr>
        <w:tc>
          <w:tcPr>
            <w:tcW w:w="289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S-LEG-001</w:t>
            </w:r>
          </w:p>
        </w:tc>
        <w:tc>
          <w:tcPr>
            <w:tcW w:w="674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Registre des exigences légales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4. Définitions et abréviations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699"/>
        <w:gridCol w:w="6939"/>
      </w:tblGrid>
      <w:tr>
        <w:trPr>
          <w:tblHeader/>
          <w:cantSplit/>
        </w:trPr>
        <w:tc>
          <w:tcPr>
            <w:tcW w:w="269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Terme</w:t>
            </w:r>
          </w:p>
        </w:tc>
        <w:tc>
          <w:tcPr>
            <w:tcW w:w="693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Définition</w:t>
            </w:r>
          </w:p>
        </w:tc>
      </w:tr>
      <w:tr>
        <w:trPr>
          <w:cantSplit/>
        </w:trPr>
        <w:tc>
          <w:tcPr>
            <w:tcW w:w="269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Aspect environnemental</w:t>
            </w:r>
          </w:p>
        </w:tc>
        <w:tc>
          <w:tcPr>
            <w:tcW w:w="693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Élément des activités, produits ou services susceptible d'interagir avec l'environnement (§3.2.2).</w:t>
            </w:r>
          </w:p>
        </w:tc>
      </w:tr>
      <w:tr>
        <w:trPr>
          <w:cantSplit/>
        </w:trPr>
        <w:tc>
          <w:tcPr>
            <w:tcW w:w="269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Impact environnemental</w:t>
            </w:r>
          </w:p>
        </w:tc>
        <w:tc>
          <w:tcPr>
            <w:tcW w:w="693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Modification de l'environnement résultant d'un aspect environnemental (§3.2.4).</w:t>
            </w:r>
          </w:p>
        </w:tc>
      </w:tr>
      <w:tr>
        <w:trPr>
          <w:cantSplit/>
        </w:trPr>
        <w:tc>
          <w:tcPr>
            <w:tcW w:w="269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Obligation de conformité</w:t>
            </w:r>
          </w:p>
        </w:tc>
        <w:tc>
          <w:tcPr>
            <w:tcW w:w="693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Exigences légales et autres exigences que l'organisme doit ou choisit de respecter (§3.2.9).</w:t>
            </w:r>
          </w:p>
        </w:tc>
      </w:tr>
      <w:tr>
        <w:trPr>
          <w:cantSplit/>
        </w:trPr>
        <w:tc>
          <w:tcPr>
            <w:tcW w:w="269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Cycle de vie</w:t>
            </w:r>
          </w:p>
        </w:tc>
        <w:tc>
          <w:tcPr>
            <w:tcW w:w="693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Étapes consécutives et liées d'un système de produit/service, de l'acquisition des matières à l'élimination finale (§3.3.3).</w:t>
            </w:r>
          </w:p>
        </w:tc>
      </w:tr>
      <w:tr>
        <w:trPr>
          <w:cantSplit/>
        </w:trPr>
        <w:tc>
          <w:tcPr>
            <w:tcW w:w="269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Aspect significatif</w:t>
            </w:r>
          </w:p>
        </w:tc>
        <w:tc>
          <w:tcPr>
            <w:tcW w:w="693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Aspect ayant ou pouvant avoir un impact environnemental significatif selon les critères établis.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5. Responsabilités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3084"/>
        <w:gridCol w:w="6554"/>
      </w:tblGrid>
      <w:tr>
        <w:trPr>
          <w:tblHeader/>
          <w:cantSplit/>
        </w:trPr>
        <w:tc>
          <w:tcPr>
            <w:tcW w:w="3084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Fonction</w:t>
            </w:r>
          </w:p>
        </w:tc>
        <w:tc>
          <w:tcPr>
            <w:tcW w:w="6554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Responsabilité</w:t>
            </w:r>
          </w:p>
        </w:tc>
      </w:tr>
      <w:tr>
        <w:trPr>
          <w:cantSplit/>
        </w:trPr>
        <w:tc>
          <w:tcPr>
            <w:tcW w:w="3084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Responsable environnement</w:t>
            </w:r>
          </w:p>
        </w:tc>
        <w:tc>
          <w:tcPr>
            <w:tcW w:w="6554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Pilote l'analyse, tient à jour le registre et détermine les aspects significatifs.</w:t>
            </w:r>
          </w:p>
        </w:tc>
      </w:tr>
      <w:tr>
        <w:trPr>
          <w:cantSplit/>
        </w:trPr>
        <w:tc>
          <w:tcPr>
            <w:tcW w:w="3084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Encadrement</w:t>
            </w:r>
          </w:p>
        </w:tc>
        <w:tc>
          <w:tcPr>
            <w:tcW w:w="6554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Fournit les données d'activité et de procédé.</w:t>
            </w:r>
          </w:p>
        </w:tc>
      </w:tr>
      <w:tr>
        <w:trPr>
          <w:cantSplit/>
        </w:trPr>
        <w:tc>
          <w:tcPr>
            <w:tcW w:w="3084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Direction</w:t>
            </w:r>
          </w:p>
        </w:tc>
        <w:tc>
          <w:tcPr>
            <w:tcW w:w="6554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Valide les critères de significativité et les priorités.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6. Description du processus</w:t>
      </w:r>
    </w:p>
    <w:p>
      <w:r>
        <w:t xml:space="preserve">L'analyse environnementale est conduite selon les étapes suivantes et actualisée à chaque changement (§6.3) ou périodiquement.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578"/>
        <w:gridCol w:w="4433"/>
        <w:gridCol w:w="2121"/>
        <w:gridCol w:w="2506"/>
      </w:tblGrid>
      <w:tr>
        <w:trPr>
          <w:tblHeader/>
          <w:cantSplit/>
        </w:trPr>
        <w:tc>
          <w:tcPr>
            <w:tcW w:w="578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N°</w:t>
            </w:r>
          </w:p>
        </w:tc>
        <w:tc>
          <w:tcPr>
            <w:tcW w:w="443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Étape</w:t>
            </w:r>
          </w:p>
        </w:tc>
        <w:tc>
          <w:tcPr>
            <w:tcW w:w="212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Responsable</w:t>
            </w:r>
          </w:p>
        </w:tc>
        <w:tc>
          <w:tcPr>
            <w:tcW w:w="250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Enregistrement / sortie</w:t>
            </w:r>
          </w:p>
        </w:tc>
      </w:tr>
      <w:tr>
        <w:trPr>
          <w:cantSplit/>
        </w:trPr>
        <w:tc>
          <w:tcPr>
            <w:tcW w:w="57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443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Analyser les activités, produits et services (cycle de vie)</w:t>
            </w:r>
          </w:p>
        </w:tc>
        <w:tc>
          <w:tcPr>
            <w:tcW w:w="212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Resp. environnement</w:t>
            </w:r>
          </w:p>
        </w:tc>
        <w:tc>
          <w:tcPr>
            <w:tcW w:w="250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Enregistrement associé</w:t>
            </w:r>
          </w:p>
        </w:tc>
      </w:tr>
      <w:tr>
        <w:trPr>
          <w:cantSplit/>
        </w:trPr>
        <w:tc>
          <w:tcPr>
            <w:tcW w:w="578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443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Identifier les aspects environnementaux</w:t>
            </w:r>
          </w:p>
        </w:tc>
        <w:tc>
          <w:tcPr>
            <w:tcW w:w="212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Resp. environnement</w:t>
            </w:r>
          </w:p>
        </w:tc>
        <w:tc>
          <w:tcPr>
            <w:tcW w:w="250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Enregistrement associé</w:t>
            </w:r>
          </w:p>
        </w:tc>
      </w:tr>
      <w:tr>
        <w:trPr>
          <w:cantSplit/>
        </w:trPr>
        <w:tc>
          <w:tcPr>
            <w:tcW w:w="57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443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Évaluer et coter les impacts environnementaux</w:t>
            </w:r>
          </w:p>
        </w:tc>
        <w:tc>
          <w:tcPr>
            <w:tcW w:w="212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Resp. environnement</w:t>
            </w:r>
          </w:p>
        </w:tc>
        <w:tc>
          <w:tcPr>
            <w:tcW w:w="250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Enregistrement associé</w:t>
            </w:r>
          </w:p>
        </w:tc>
      </w:tr>
      <w:tr>
        <w:trPr>
          <w:cantSplit/>
        </w:trPr>
        <w:tc>
          <w:tcPr>
            <w:tcW w:w="578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443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Déterminer les aspects significatifs</w:t>
            </w:r>
          </w:p>
        </w:tc>
        <w:tc>
          <w:tcPr>
            <w:tcW w:w="212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Resp. environnement</w:t>
            </w:r>
          </w:p>
        </w:tc>
        <w:tc>
          <w:tcPr>
            <w:tcW w:w="250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Enregistrement associé</w:t>
            </w:r>
          </w:p>
        </w:tc>
      </w:tr>
      <w:tr>
        <w:trPr>
          <w:cantSplit/>
        </w:trPr>
        <w:tc>
          <w:tcPr>
            <w:tcW w:w="57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443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Communiquer les aspects significatifs</w:t>
            </w:r>
          </w:p>
        </w:tc>
        <w:tc>
          <w:tcPr>
            <w:tcW w:w="212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Resp. environnement</w:t>
            </w:r>
          </w:p>
        </w:tc>
        <w:tc>
          <w:tcPr>
            <w:tcW w:w="250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Enregistrement associé</w:t>
            </w:r>
          </w:p>
        </w:tc>
      </w:tr>
      <w:tr>
        <w:trPr>
          <w:cantSplit/>
        </w:trPr>
        <w:tc>
          <w:tcPr>
            <w:tcW w:w="578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443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Actualiser périodiquement l'analyse</w:t>
            </w:r>
          </w:p>
        </w:tc>
        <w:tc>
          <w:tcPr>
            <w:tcW w:w="212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Resp. environnement</w:t>
            </w:r>
          </w:p>
        </w:tc>
        <w:tc>
          <w:tcPr>
            <w:tcW w:w="250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Enregistrement associé</w:t>
            </w:r>
          </w:p>
        </w:tc>
      </w:tr>
    </w:tbl>
    <w:p>
      <w:pPr>
        <w:spacing w:before="0" w:after="0"/>
      </w:pPr>
    </w:p>
    <w:p>
      <w:r>
        <w:t xml:space="preserve">Logigramme du processus associé</w:t>
      </w:r>
    </w:p>
    <w:p>
      <w:pPr>
        <w:pStyle w:val="Normal"/>
        <w:spacing w:before="0" w:after="60"/>
        <w:jc w:val="center"/>
        <w:rPr/>
      </w:pPr>
      <w:r>
        <w:rPr/>
        <w:drawing>
          <wp:inline distT="0" distB="0" distL="0" distR="0">
            <wp:extent cx="5219700" cy="6416459"/>
            <wp:effectExtent l="0" t="0" r="0" b="0"/>
            <wp:docPr id="1" name="Logigramme"/>
            <wp:cNvGraphicFramePr/>
            <a:graphic xmlns:a="http://schemas.openxmlformats.org/drawingml/2006/main"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219700" cy="6416459"/>
                      <a:chOff x="0" y="0"/>
                      <a:chExt cx="5219700" cy="6416459"/>
                    </a:xfrm>
                  </wpg:grpSpPr>
                  <wps:wsp>
                    <wps:cNvPr id="2" name="etiquette2"/>
                    <wps:cNvSpPr/>
                    <wps:spPr>
                      <a:xfrm>
                        <a:off x="0" y="24563"/>
                        <a:ext cx="5219700" cy="201769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1F4E79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color w:val="1F4E79"/>
                              <w:sz w:val="22"/>
                              <w:szCs w:val="22"/>
                            </w:rPr>
                            <w:t xml:space="preserve">Processus PC-ASP : Identification et évaluation des aspects et impacts (§6.1.2)</w:t>
                          </w:r>
                        </w:p>
                      </w:txbxContent>
                    </wps:txbx>
                    <wps:bodyPr rot="0" anchor="ctr" anchorCtr="0" wrap="none" lIns="0" rIns="0" tIns="0" bIns="0">
                      <a:noAutofit/>
                    </wps:bodyPr>
                  </wps:wsp>
                  <wps:wsp>
                    <wps:cNvPr id="3" name="lien3"/>
                    <wps:cNvSpPr/>
                    <wps:spPr>
                      <a:xfrm>
                        <a:off x="1632231" y="884366"/>
                        <a:ext cx="1" cy="187471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4" name="lien4"/>
                    <wps:cNvSpPr/>
                    <wps:spPr>
                      <a:xfrm>
                        <a:off x="1632231" y="1071837"/>
                        <a:ext cx="6492" cy="18642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5" name="lien5"/>
                    <wps:cNvSpPr/>
                    <wps:spPr>
                      <a:xfrm>
                        <a:off x="1632231" y="1588017"/>
                        <a:ext cx="1" cy="184576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6" name="lien6"/>
                    <wps:cNvSpPr/>
                    <wps:spPr>
                      <a:xfrm>
                        <a:off x="1632231" y="1772593"/>
                        <a:ext cx="6492" cy="18641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7" name="lien7"/>
                    <wps:cNvSpPr/>
                    <wps:spPr>
                      <a:xfrm>
                        <a:off x="1632231" y="2288159"/>
                        <a:ext cx="1" cy="185365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8" name="lien8"/>
                    <wps:cNvSpPr/>
                    <wps:spPr>
                      <a:xfrm>
                        <a:off x="1632231" y="2473524"/>
                        <a:ext cx="6492" cy="18642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9" name="lien9"/>
                    <wps:cNvSpPr/>
                    <wps:spPr>
                      <a:xfrm>
                        <a:off x="2404483" y="2714419"/>
                        <a:ext cx="978760" cy="1"/>
                      </a:xfrm>
                      <a:prstGeom prst="line">
                        <a:avLst/>
                      </a:prstGeom>
                      <a:ln w="9525">
                        <a:solidFill>
                          <a:srgbClr val="C77F00"/>
                        </a:solidFill>
                        <a:prstDash val="dash"/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10" name="lien10"/>
                    <wps:cNvSpPr/>
                    <wps:spPr>
                      <a:xfrm>
                        <a:off x="1632231" y="2868115"/>
                        <a:ext cx="1" cy="185278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11" name="lien11"/>
                    <wps:cNvSpPr/>
                    <wps:spPr>
                      <a:xfrm>
                        <a:off x="1632231" y="3053393"/>
                        <a:ext cx="6492" cy="18642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12" name="lien12"/>
                    <wps:cNvSpPr/>
                    <wps:spPr>
                      <a:xfrm>
                        <a:off x="1526960" y="3732129"/>
                        <a:ext cx="1" cy="215631"/>
                      </a:xfrm>
                      <a:prstGeom prst="line">
                        <a:avLst/>
                      </a:prstGeom>
                      <a:ln w="9525">
                        <a:solidFill>
                          <a:srgbClr val="2D7D2D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13" name="lien13"/>
                    <wps:cNvSpPr/>
                    <wps:spPr>
                      <a:xfrm>
                        <a:off x="1526960" y="3947760"/>
                        <a:ext cx="6491" cy="18642"/>
                      </a:xfrm>
                      <a:prstGeom prst="line">
                        <a:avLst/>
                      </a:prstGeom>
                      <a:ln w="9525">
                        <a:solidFill>
                          <a:srgbClr val="2D7D2D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14" name="etiquette14"/>
                    <wps:cNvSpPr/>
                    <wps:spPr>
                      <a:xfrm>
                        <a:off x="1288520" y="3797836"/>
                        <a:ext cx="266336" cy="18422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bCs/>
                              <w:color w:val="2D7D2D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2D7D2D"/>
                              <w:sz w:val="19"/>
                              <w:szCs w:val="19"/>
                            </w:rPr>
                            <w:t xml:space="preserve">Oui</w:t>
                          </w:r>
                        </w:p>
                      </w:txbxContent>
                    </wps:txbx>
                    <wps:bodyPr rot="0" anchor="ctr" anchorCtr="0" wrap="none" lIns="0" rIns="0" tIns="0" bIns="0">
                      <a:noAutofit/>
                    </wps:bodyPr>
                  </wps:wsp>
                  <wps:wsp>
                    <wps:cNvPr id="15" name="lien15"/>
                    <wps:cNvSpPr/>
                    <wps:spPr>
                      <a:xfrm>
                        <a:off x="2358164" y="3539746"/>
                        <a:ext cx="1" cy="985251"/>
                      </a:xfrm>
                      <a:prstGeom prst="line">
                        <a:avLst/>
                      </a:prstGeom>
                      <a:ln w="9525">
                        <a:solidFill>
                          <a:srgbClr val="CC000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16" name="lien16"/>
                    <wps:cNvSpPr/>
                    <wps:spPr>
                      <a:xfrm>
                        <a:off x="2358164" y="4524997"/>
                        <a:ext cx="6492" cy="18642"/>
                      </a:xfrm>
                      <a:prstGeom prst="line">
                        <a:avLst/>
                      </a:prstGeom>
                      <a:ln w="9525">
                        <a:solidFill>
                          <a:srgbClr val="CC000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17" name="etiquette17"/>
                    <wps:cNvSpPr/>
                    <wps:spPr>
                      <a:xfrm>
                        <a:off x="2343426" y="3858630"/>
                        <a:ext cx="266336" cy="18422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bCs/>
                              <w:color w:val="CC000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CC0000"/>
                              <w:sz w:val="19"/>
                              <w:szCs w:val="19"/>
                            </w:rPr>
                            <w:t xml:space="preserve">Non</w:t>
                          </w:r>
                        </w:p>
                      </w:txbxContent>
                    </wps:txbx>
                    <wps:bodyPr rot="0" anchor="ctr" anchorCtr="0" wrap="none" lIns="0" rIns="0" tIns="0" bIns="0">
                      <a:noAutofit/>
                    </wps:bodyPr>
                  </wps:wsp>
                  <wps:wsp>
                    <wps:cNvPr id="18" name="lien18"/>
                    <wps:cNvSpPr/>
                    <wps:spPr>
                      <a:xfrm>
                        <a:off x="1608106" y="4340159"/>
                        <a:ext cx="1" cy="188260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19" name="lien19"/>
                    <wps:cNvSpPr/>
                    <wps:spPr>
                      <a:xfrm>
                        <a:off x="1608106" y="4528419"/>
                        <a:ext cx="6492" cy="18642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0" name="lien20"/>
                    <wps:cNvSpPr/>
                    <wps:spPr>
                      <a:xfrm>
                        <a:off x="1772593" y="4919151"/>
                        <a:ext cx="1" cy="188260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1" name="lien21"/>
                    <wps:cNvSpPr/>
                    <wps:spPr>
                      <a:xfrm>
                        <a:off x="1772593" y="5107411"/>
                        <a:ext cx="6491" cy="18641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2" name="lien22"/>
                    <wps:cNvSpPr/>
                    <wps:spPr>
                      <a:xfrm>
                        <a:off x="2527563" y="5346201"/>
                        <a:ext cx="265459" cy="1"/>
                      </a:xfrm>
                      <a:prstGeom prst="line">
                        <a:avLst/>
                      </a:prstGeom>
                      <a:ln w="9525">
                        <a:solidFill>
                          <a:srgbClr val="7F7F7F"/>
                        </a:solidFill>
                        <a:prstDash val="dash"/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3" name="lien23"/>
                    <wps:cNvSpPr/>
                    <wps:spPr>
                      <a:xfrm>
                        <a:off x="2793022" y="1372211"/>
                        <a:ext cx="1" cy="3973990"/>
                      </a:xfrm>
                      <a:prstGeom prst="line">
                        <a:avLst/>
                      </a:prstGeom>
                      <a:ln w="9525">
                        <a:solidFill>
                          <a:srgbClr val="7F7F7F"/>
                        </a:solidFill>
                        <a:prstDash val="dash"/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4" name="lien24"/>
                    <wps:cNvSpPr/>
                    <wps:spPr>
                      <a:xfrm>
                        <a:off x="2455101" y="1372211"/>
                        <a:ext cx="337921" cy="1"/>
                      </a:xfrm>
                      <a:prstGeom prst="line">
                        <a:avLst/>
                      </a:prstGeom>
                      <a:ln w="9525">
                        <a:solidFill>
                          <a:srgbClr val="7F7F7F"/>
                        </a:solidFill>
                        <a:prstDash val="dash"/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5" name="lien25"/>
                    <wps:cNvSpPr/>
                    <wps:spPr>
                      <a:xfrm flipV="1">
                        <a:off x="2436459" y="1372211"/>
                        <a:ext cx="18642" cy="6492"/>
                      </a:xfrm>
                      <a:prstGeom prst="line">
                        <a:avLst/>
                      </a:prstGeom>
                      <a:ln w="9525">
                        <a:solidFill>
                          <a:srgbClr val="7F7F7F"/>
                        </a:solidFill>
                        <a:prstDash val="dash"/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6" name="etiquette26"/>
                    <wps:cNvSpPr/>
                    <wps:spPr>
                      <a:xfrm>
                        <a:off x="2702840" y="3180859"/>
                        <a:ext cx="1206759" cy="157906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7F7F7F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5"/>
                              <w:szCs w:val="15"/>
                            </w:rPr>
                            <w:t xml:space="preserve">Réévaluation périodique</w:t>
                          </w:r>
                        </w:p>
                      </w:txbxContent>
                    </wps:txbx>
                    <wps:bodyPr rot="0" anchor="ctr" anchorCtr="0" wrap="none" lIns="0" rIns="0" tIns="0" bIns="0">
                      <a:noAutofit/>
                    </wps:bodyPr>
                  </wps:wsp>
                  <wps:wsp>
                    <wps:cNvPr id="27" name="lien27"/>
                    <wps:cNvSpPr/>
                    <wps:spPr>
                      <a:xfrm>
                        <a:off x="1772593" y="5498669"/>
                        <a:ext cx="1" cy="186330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8" name="lien28"/>
                    <wps:cNvSpPr/>
                    <wps:spPr>
                      <a:xfrm>
                        <a:off x="1772593" y="5684999"/>
                        <a:ext cx="6491" cy="18642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9" name="etape29"/>
                    <wps:cNvSpPr/>
                    <wps:spPr>
                      <a:xfrm>
                        <a:off x="724442" y="264406"/>
                        <a:ext cx="1815578" cy="617767"/>
                      </a:xfrm>
                      <a:prstGeom prst="ellipse">
                        <a:avLst/>
                      </a:prstGeom>
                      <a:solidFill>
                        <a:srgbClr val="C5E0B4"/>
                      </a:solidFill>
                      <a:ln w="19050">
                        <a:solidFill>
                          <a:srgbClr val="4F9B3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Nouvelle activité,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changement ou revue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périodique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0" name="etape30"/>
                    <wps:cNvSpPr/>
                    <wps:spPr>
                      <a:xfrm>
                        <a:off x="886559" y="1146667"/>
                        <a:ext cx="1491343" cy="438630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4"/>
                              <w:szCs w:val="14"/>
                            </w:rPr>
                            <w:t xml:space="preserve">Analyser activités,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4"/>
                              <w:szCs w:val="14"/>
                            </w:rPr>
                            <w:t xml:space="preserve">produits &amp; services (cycle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4"/>
                              <w:szCs w:val="14"/>
                            </w:rPr>
                            <w:t xml:space="preserve">de vie, §6.1.2)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1" name="etape31"/>
                    <wps:cNvSpPr/>
                    <wps:spPr>
                      <a:xfrm>
                        <a:off x="943581" y="1848476"/>
                        <a:ext cx="1377299" cy="438630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  <w:t xml:space="preserve">Identifier les aspects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  <w:t xml:space="preserve">(normales / anormales /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  <w:t xml:space="preserve">urgence)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2" name="etape32"/>
                    <wps:cNvSpPr/>
                    <wps:spPr>
                      <a:xfrm>
                        <a:off x="860242" y="2550284"/>
                        <a:ext cx="1543978" cy="315814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  <w:t xml:space="preserve">Évaluer et coter les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  <w:t xml:space="preserve">impacts environnementaux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3" name="etape33"/>
                    <wps:cNvSpPr/>
                    <wps:spPr>
                      <a:xfrm>
                        <a:off x="3386752" y="2550284"/>
                        <a:ext cx="1228165" cy="315814"/>
                      </a:xfrm>
                      <a:prstGeom prst="foldedCorner">
                        <a:avLst/>
                      </a:prstGeom>
                      <a:solidFill>
                        <a:srgbClr val="F5A623"/>
                      </a:solidFill>
                      <a:ln w="9525">
                        <a:solidFill>
                          <a:srgbClr val="C77F00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4A2E00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color w:val="4A2E00"/>
                              <w:sz w:val="13"/>
                              <w:szCs w:val="13"/>
                            </w:rPr>
                            <w:t xml:space="preserve">Registre des aspects &amp;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4A2E00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color w:val="4A2E00"/>
                              <w:sz w:val="13"/>
                              <w:szCs w:val="13"/>
                            </w:rPr>
                            <w:t xml:space="preserve">impacts (S-ASP-001)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4" name="etape34"/>
                    <wps:cNvSpPr/>
                    <wps:spPr>
                      <a:xfrm>
                        <a:off x="603731" y="3129276"/>
                        <a:ext cx="2057000" cy="631628"/>
                      </a:xfrm>
                      <a:prstGeom prst="flowChartDecision">
                        <a:avLst/>
                      </a:prstGeom>
                      <a:solidFill>
                        <a:srgbClr val="E91E8C"/>
                      </a:solidFill>
                      <a:ln w="9525">
                        <a:solidFill>
                          <a:srgbClr val="B0146B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3"/>
                              <w:szCs w:val="13"/>
                            </w:rPr>
                            <w:t xml:space="preserve">Aspect environnemental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3"/>
                              <w:szCs w:val="13"/>
                            </w:rPr>
                            <w:t xml:space="preserve">significatif ?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5" name="etape35"/>
                    <wps:cNvSpPr/>
                    <wps:spPr>
                      <a:xfrm>
                        <a:off x="860242" y="4024082"/>
                        <a:ext cx="1333436" cy="315813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  <w:t xml:space="preserve">Déterminer besoins de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  <w:t xml:space="preserve">maîtrise &amp; objectifs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6" name="etape36"/>
                    <wps:cNvSpPr/>
                    <wps:spPr>
                      <a:xfrm>
                        <a:off x="1022535" y="4603074"/>
                        <a:ext cx="1500115" cy="315813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  <w:t xml:space="preserve">Communiquer les aspects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  <w:t xml:space="preserve">significatifs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7" name="etape37"/>
                    <wps:cNvSpPr/>
                    <wps:spPr>
                      <a:xfrm>
                        <a:off x="1018149" y="5182066"/>
                        <a:ext cx="1508888" cy="315813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  <w:t xml:space="preserve">Actualiser périodiquement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  <w:t xml:space="preserve">l'analyse (§6.3)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8" name="etape38"/>
                    <wps:cNvSpPr/>
                    <wps:spPr>
                      <a:xfrm>
                        <a:off x="618644" y="5762286"/>
                        <a:ext cx="2307897" cy="617766"/>
                      </a:xfrm>
                      <a:prstGeom prst="ellipse">
                        <a:avLst/>
                      </a:prstGeom>
                      <a:solidFill>
                        <a:srgbClr val="C5E0B4"/>
                      </a:solidFill>
                      <a:ln w="19050">
                        <a:solidFill>
                          <a:srgbClr val="4F9B3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 xml:space="preserve">Analyse environnementale à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 xml:space="preserve">jour &amp; aspects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 xml:space="preserve">significatifs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</wpg:wgp>
              </a:graphicData>
            </a:graphic>
          </wp:inline>
        </w:drawing>
      </w:r>
    </w:p>
    <w:p>
      <w:pPr>
        <w:pStyle w:val="Heading1"/>
      </w:pPr>
      <w:r>
        <w:t xml:space="preserve">7. Enregistrements associés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4432"/>
        <w:gridCol w:w="2315"/>
        <w:gridCol w:w="2891"/>
      </w:tblGrid>
      <w:tr>
        <w:trPr>
          <w:tblHeader/>
          <w:cantSplit/>
        </w:trPr>
        <w:tc>
          <w:tcPr>
            <w:tcW w:w="443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Enregistrement</w:t>
            </w:r>
          </w:p>
        </w:tc>
        <w:tc>
          <w:tcPr>
            <w:tcW w:w="2315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Référence</w:t>
            </w:r>
          </w:p>
        </w:tc>
        <w:tc>
          <w:tcPr>
            <w:tcW w:w="289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Conservation / support</w:t>
            </w:r>
          </w:p>
        </w:tc>
      </w:tr>
      <w:tr>
        <w:trPr>
          <w:cantSplit/>
        </w:trPr>
        <w:tc>
          <w:tcPr>
            <w:tcW w:w="443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Registre des aspects et impacts</w:t>
            </w:r>
          </w:p>
        </w:tc>
        <w:tc>
          <w:tcPr>
            <w:tcW w:w="2315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S-ASP-001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QMS / 5 ans</w:t>
            </w:r>
          </w:p>
        </w:tc>
      </w:tr>
      <w:tr>
        <w:trPr>
          <w:cantSplit/>
        </w:trPr>
        <w:tc>
          <w:tcPr>
            <w:tcW w:w="443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Critères de significativité</w:t>
            </w:r>
          </w:p>
        </w:tc>
        <w:tc>
          <w:tcPr>
            <w:tcW w:w="2315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PR-ASP-001</w:t>
            </w:r>
          </w:p>
        </w:tc>
        <w:tc>
          <w:tcPr>
            <w:tcW w:w="28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QMS</w:t>
            </w:r>
          </w:p>
        </w:tc>
      </w:tr>
      <w:tr>
        <w:trPr>
          <w:cantSplit/>
        </w:trPr>
        <w:tc>
          <w:tcPr>
            <w:tcW w:w="443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Liste des aspects significatifs</w:t>
            </w:r>
          </w:p>
        </w:tc>
        <w:tc>
          <w:tcPr>
            <w:tcW w:w="2315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S-ASP-001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QMS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8. Historique des révisions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962"/>
        <w:gridCol w:w="1929"/>
        <w:gridCol w:w="2314"/>
        <w:gridCol w:w="4433"/>
      </w:tblGrid>
      <w:tr>
        <w:trPr>
          <w:tblHeader/>
          <w:cantSplit/>
        </w:trPr>
        <w:tc>
          <w:tcPr>
            <w:tcW w:w="96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Rév.</w:t>
            </w:r>
          </w:p>
        </w:tc>
        <w:tc>
          <w:tcPr>
            <w:tcW w:w="192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w="2314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Auteur</w:t>
            </w:r>
          </w:p>
        </w:tc>
        <w:tc>
          <w:tcPr>
            <w:tcW w:w="443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Description de la modification</w:t>
            </w:r>
          </w:p>
        </w:tc>
      </w:tr>
      <w:tr>
        <w:trPr>
          <w:cantSplit/>
        </w:trPr>
        <w:tc>
          <w:tcPr>
            <w:tcW w:w="96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1.0</w:t>
            </w:r>
          </w:p>
        </w:tc>
        <w:tc>
          <w:tcPr>
            <w:tcW w:w="192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Juillet 2026</w:t>
            </w:r>
          </w:p>
        </w:tc>
        <w:tc>
          <w:tcPr>
            <w:tcW w:w="2314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[Nom organisation]</w:t>
            </w:r>
          </w:p>
        </w:tc>
        <w:tc>
          <w:tcPr>
            <w:tcW w:w="443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Création initiale, conforme ISO 14001:2026.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9. Approbation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312"/>
        <w:gridCol w:w="2893"/>
        <w:gridCol w:w="2507"/>
        <w:gridCol w:w="1926"/>
      </w:tblGrid>
      <w:tr>
        <w:trPr>
          <w:tblHeader/>
          <w:cantSplit/>
        </w:trPr>
        <w:tc>
          <w:tcPr>
            <w:tcW w:w="231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Rôle</w:t>
            </w:r>
          </w:p>
        </w:tc>
        <w:tc>
          <w:tcPr>
            <w:tcW w:w="289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Nom</w:t>
            </w:r>
          </w:p>
        </w:tc>
        <w:tc>
          <w:tcPr>
            <w:tcW w:w="2507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w="192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cantSplit/>
        </w:trPr>
        <w:tc>
          <w:tcPr>
            <w:tcW w:w="231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Rédacteur</w:t>
            </w:r>
          </w:p>
        </w:tc>
        <w:tc>
          <w:tcPr>
            <w:tcW w:w="289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[Nom organisation]</w:t>
            </w:r>
          </w:p>
        </w:tc>
        <w:tc>
          <w:tcPr>
            <w:tcW w:w="2507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  <w:tc>
          <w:tcPr>
            <w:tcW w:w="192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</w:tr>
      <w:tr>
        <w:trPr>
          <w:cantSplit/>
        </w:trPr>
        <w:tc>
          <w:tcPr>
            <w:tcW w:w="231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Vérificateur</w:t>
            </w:r>
          </w:p>
        </w:tc>
        <w:tc>
          <w:tcPr>
            <w:tcW w:w="289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[À COMPLÉTER]</w:t>
            </w:r>
          </w:p>
        </w:tc>
        <w:tc>
          <w:tcPr>
            <w:tcW w:w="2507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  <w:tc>
          <w:tcPr>
            <w:tcW w:w="192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</w:tr>
      <w:tr>
        <w:trPr>
          <w:cantSplit/>
        </w:trPr>
        <w:tc>
          <w:tcPr>
            <w:tcW w:w="231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Approbateur</w:t>
            </w:r>
          </w:p>
        </w:tc>
        <w:tc>
          <w:tcPr>
            <w:tcW w:w="289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[À COMPLÉTER]</w:t>
            </w:r>
          </w:p>
        </w:tc>
        <w:tc>
          <w:tcPr>
            <w:tcW w:w="2507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  <w:tc>
          <w:tcPr>
            <w:tcW w:w="192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</w:tr>
    </w:tbl>
    <w:p>
      <w:pPr>
        <w:spacing w:before="0" w:after="0"/>
      </w:pPr>
    </w:p>
    <w:p>
      <w:r>
        <w:t xml:space="preserve">Document contrôlé. Toute copie imprimée est réputée non maîtrisée : vérifiez la version en vigueur.</w:t>
      </w:r>
    </w:p>
    <w:sectPr>
      <w:headerReference w:type="default" r:id="rIdHdr"/>
      <w:footerReference w:type="default" r:id="rIdFtr"/>
      <w:pgSz w:w="11906" w:h="16838"/>
      <w:pgMar w:top="1417" w:right="1134" w:bottom="1134" w:left="1134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p>
    <w:pPr>
      <w:spacing w:before="0" w:after="0"/>
      <w:jc w:val="center"/>
    </w:pPr>
    <w:r>
      <w:rPr>
        <w:color w:val="8A8A8A"/>
        <w:sz w:val="14"/>
        <w:szCs w:val="14"/>
      </w:rPr>
      <w:t xml:space="preserve">Document maîtrisé. Toute reproduction imprimée est une copie non maîtrisée. Diffusion : [interne / restreinte / publique]</w:t>
    </w:r>
  </w:p>
  <w:p>
    <w:pPr>
      <w:spacing w:before="0" w:after="0"/>
      <w:jc w:val="center"/>
    </w:pPr>
    <w:r>
      <w:rPr>
        <w:i/>
        <w:color w:val="B4B4B4"/>
        <w:sz w:val="13"/>
        <w:szCs w:val="13"/>
      </w:rPr>
      <w:t xml:space="preserve">Trame conçue par Hub Engineering Management Consulting · hem-consulting.com · [ligne à supprimer après personnalisation]</w:t>
    </w:r>
  </w:p>
  <w:p>
    <w:pPr>
      <w:jc w:val="center"/>
    </w:pPr>
    <w:r>
      <w:rPr>
        <w:sz w:val="14"/>
        <w:color w:val="8A8A8A"/>
      </w:rP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sz w:val="14"/>
        <w:color w:val="8A8A8A"/>
      </w:rPr>
      <w:t xml:space="preserve"> /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tbl>
    <w:tblPr>
      <w:tblW w:w="5000" w:type="pct"/>
      <w:tblLayout w:type="autofit"/>
      <w:tblCellMar>
        <w:top w:w="0" w:type="dxa"/>
        <w:left w:w="80" w:type="dxa"/>
        <w:bottom w:w="60" w:type="dxa"/>
        <w:right w:w="80" w:type="dxa"/>
      </w:tblCellMar>
    </w:tblPr>
    <w:tblGrid>
      <w:gridCol w:w="1652"/>
      <w:gridCol w:w="5232"/>
      <w:gridCol w:w="2754"/>
    </w:tblGrid>
    <w:tr>
      <w:tc>
        <w:tcPr>
          <w:tcW w:w="165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</w:pPr>
          <w:r>
            <w:rPr>
              <w:b/>
              <w:color w:val="595959"/>
              <w:sz w:val="16"/>
              <w:szCs w:val="16"/>
            </w:rPr>
            <w:t xml:space="preserve">[LOGO CLIENT]</w:t>
          </w:r>
        </w:p>
        <w:p>
          <w:pPr>
            <w:spacing w:before="0" w:after="0"/>
          </w:pPr>
          <w:r>
            <w:rPr>
              <w:color w:val="595959"/>
              <w:sz w:val="16"/>
              <w:szCs w:val="16"/>
            </w:rPr>
            <w:t xml:space="preserve">[NOM DE L'ORGANISME]</w:t>
          </w:r>
        </w:p>
      </w:tc>
      <w:tc>
        <w:tcPr>
          <w:tcW w:w="523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center"/>
          </w:pPr>
          <w:r>
            <w:rPr>
              <w:b/>
              <w:smallCaps/>
              <w:color w:val="1F4E79"/>
              <w:sz w:val="16"/>
              <w:szCs w:val="16"/>
            </w:rPr>
            <w:t xml:space="preserve">Procédure</w:t>
          </w:r>
        </w:p>
        <w:p>
          <w:pPr>
            <w:spacing w:before="0" w:after="0"/>
            <w:jc w:val="center"/>
          </w:pPr>
          <w:r>
            <w:rPr>
              <w:b/>
              <w:color w:val="1F4E79"/>
              <w:sz w:val="20"/>
              <w:szCs w:val="20"/>
            </w:rPr>
            <w:t xml:space="preserve">Analyse environnementale : aspects et impacts</w:t>
          </w:r>
        </w:p>
      </w:tc>
      <w:tc>
        <w:tcPr>
          <w:tcW w:w="2754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Code : PR-ASP-001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Version : 1.0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Date : [jj/mm/aaaa]</w:t>
          </w:r>
        </w:p>
      </w:tc>
    </w:tr>
  </w:tbl>
  <w:p>
    <w:pPr>
      <w:spacing w:before="0" w:after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F4E7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1F4E7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1F4E79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1F4E79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1F4E7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1F4E79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1F4E79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1F4E79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1F4E79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1F4E79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<Relationships xmlns="http://schemas.openxmlformats.org/package/2006/relationships"><Relationship Id="rIdSty" Type="http://schemas.openxmlformats.org/officeDocument/2006/relationships/styles" Target="styles.xml"/><Relationship Id="rIdSet" Type="http://schemas.openxmlformats.org/officeDocument/2006/relationships/settings" Target="settings.xml"/><Relationship Id="rIdNum" Type="http://schemas.openxmlformats.org/officeDocument/2006/relationships/numbering" Target="numbering.xml"/><Relationship Id="rIdFnt" Type="http://schemas.openxmlformats.org/officeDocument/2006/relationships/fontTable" Target="fontTable.xml"/><Relationship Id="rIdThm" Type="http://schemas.openxmlformats.org/officeDocument/2006/relationships/theme" Target="theme/theme1.xml"/><Relationship Id="rIdHdr" Type="http://schemas.openxmlformats.org/officeDocument/2006/relationships/header" Target="header1.xml"/><Relationship Id="rIdFtr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Hub Engineering Management Consulting</Application>
  <Company>HEMC</Company>
  <Manager>Hub Engineering Management Consulting</Manager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Analyse environnementale : aspects et impacts</dc:title>
  <dc:subject>Procédure PR-ASP-001</dc:subject>
  <dc:creator>Hub Engineering Management Consulting</dc:creator>
  <cp:lastModifiedBy>Hub Engineering Management Consulting</cp:lastModifiedBy>
  <cp:keywords>PR-ASP-001</cp:keywords>
  <dc:description>Modele documentaire edite par HEMC, hem-consulting.com. A personnaliser par l'organisme utilisateur.</dc:description>
  <cp:category>Procédure</cp:category>
  <cp:revision>1</cp:revision>
  <dcterms:created xsi:type="dcterms:W3CDTF">2026-08-13T00:00:00Z</dcterms:created>
  <dcterms:modified xsi:type="dcterms:W3CDTF">2026-08-13T00:00:00Z</dcterms:modified>
  <dc:language>fr-FR</dc:language>
</cp:coreProperties>
</file>