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r>
        <w:rPr>
          <w:color w:val="595959"/>
          <w:sz w:val="18"/>
          <w:szCs w:val="18"/>
        </w:rPr>
        <w:t xml:space="preserve">FORMULAIRE</w:t>
      </w:r>
    </w:p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Cartographie des processus</w:t>
      </w:r>
    </w:p>
    <w:p>
      <w:r>
        <w:rPr>
          <w:color w:val="595959"/>
          <w:sz w:val="18"/>
          <w:szCs w:val="18"/>
        </w:rPr>
        <w:t xml:space="preserve">ISO 9001:2015 · Clause 4.4 · SMQ et ses processus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F-MGT-05 | Révision : 1 | Statut : Approuvé</w:t>
      </w:r>
    </w:p>
    <w:p>
      <w:pPr>
        <w:pStyle w:val="Heading1"/>
      </w:pPr>
      <w:r>
        <w:t xml:space="preserve">Table des matières</w:t>
      </w:r>
    </w:p>
    <w:p>
      <w:r>
        <w:t xml:space="preserve">Note : Pour mettre à jour le sommaire dans Microsoft Word, faites un clic droit sur le sommaire ci-dessous, puis sélectionnez « Mettre à jour les champs » &gt; « Mettre à jour toute la table ».</w:t>
      </w:r>
    </w:p>
    <w:p>
      <w:pPr>
        <w:pStyle w:val="Heading1"/>
      </w:pPr>
      <w:r>
        <w:t xml:space="preserve">1. Objet</w:t>
      </w:r>
    </w:p>
    <w:p>
      <w:r>
        <w:t xml:space="preserve">Ce document présente la cartographie des processus du Système de Management de la Qualité de [Nom de l’organisme]. Il identifie les six processus fondamentaux, leur catégorisation, leurs interactions, et fournit une vue d’ensemble de l’architecture du SMQ conformément à l’ISO 9001:2015 Clause 4.4.</w:t>
      </w:r>
    </w:p>
    <w:p>
      <w:pPr>
        <w:pStyle w:val="Heading1"/>
      </w:pPr>
      <w:r>
        <w:t xml:space="preserve">2. Maîtrise du document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410"/>
        <w:gridCol w:w="2410"/>
        <w:gridCol w:w="2410"/>
        <w:gridCol w:w="2408"/>
      </w:tblGrid>
      <w:tr>
        <w:trPr>
          <w:tblHeader/>
          <w:cantSplit/>
        </w:trPr>
        <w:tc>
          <w:tcPr>
            <w:tcW w:w="241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Référence</w:t>
            </w:r>
          </w:p>
        </w:tc>
        <w:tc>
          <w:tcPr>
            <w:tcW w:w="241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F-MGT-05</w:t>
            </w:r>
          </w:p>
        </w:tc>
        <w:tc>
          <w:tcPr>
            <w:tcW w:w="241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Révision</w:t>
            </w:r>
          </w:p>
        </w:tc>
        <w:tc>
          <w:tcPr>
            <w:tcW w:w="240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 1</w:t>
            </w:r>
          </w:p>
        </w:tc>
      </w:tr>
      <w:tr>
        <w:trPr>
          <w:cantSplit/>
        </w:trPr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Pilote du processus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Qualité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Date d’effet</w:t>
            </w:r>
          </w:p>
        </w:tc>
        <w:tc>
          <w:tcPr>
            <w:tcW w:w="240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2026-03-01</w:t>
            </w:r>
          </w:p>
        </w:tc>
      </w:tr>
      <w:tr>
        <w:trPr>
          <w:cantSplit/>
        </w:trPr>
        <w:tc>
          <w:tcPr>
            <w:tcW w:w="241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Référence ISO</w:t>
            </w:r>
          </w:p>
        </w:tc>
        <w:tc>
          <w:tcPr>
            <w:tcW w:w="241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ISO 9001:2015 Cl. 4.4</w:t>
            </w:r>
          </w:p>
        </w:tc>
        <w:tc>
          <w:tcPr>
            <w:tcW w:w="2410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Prochaine revue</w:t>
            </w:r>
          </w:p>
        </w:tc>
        <w:tc>
          <w:tcPr>
            <w:tcW w:w="2408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2027-03-01</w:t>
            </w:r>
          </w:p>
        </w:tc>
      </w:tr>
      <w:tr>
        <w:trPr>
          <w:cantSplit/>
        </w:trPr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Classification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Document contrôlé</w:t>
            </w:r>
          </w:p>
        </w:tc>
        <w:tc>
          <w:tcPr>
            <w:tcW w:w="2410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Statut</w:t>
            </w:r>
          </w:p>
        </w:tc>
        <w:tc>
          <w:tcPr>
            <w:tcW w:w="240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Approuvé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3. Vue d’ensemble des processus</w:t>
      </w:r>
    </w:p>
    <w:p>
      <w:r>
        <w:t xml:space="preserve">Le SMQ est structuré autour de six processus fondamentaux organisés en trois catégories. Cette architecture assure une couverture complète des exigences de l’ISO 9001:2015 tout en maintenant la simplicité et la cohérence du système.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669280" cy="44094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rtographie-fr.png"/>
                    <pic:cNvPicPr/>
                  </pic:nvPicPr>
                  <pic:blipFill>
                    <a:blip r:embed="rIdImg1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4409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3.1 Processus de management</w:t>
      </w:r>
    </w:p>
    <w:p>
      <w:r>
        <w:t xml:space="preserve">Ces processus définissent la vision stratégique, pilotent le SMQ et assurent l’amélioration continue :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1281"/>
        <w:gridCol w:w="3203"/>
        <w:gridCol w:w="2563"/>
        <w:gridCol w:w="2591"/>
      </w:tblGrid>
      <w:tr>
        <w:trPr>
          <w:tblHeader/>
          <w:cantSplit/>
        </w:trPr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Code</w:t>
            </w:r>
          </w:p>
        </w:tc>
        <w:tc>
          <w:tcPr>
            <w:tcW w:w="320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Processus</w:t>
            </w:r>
          </w:p>
        </w:tc>
        <w:tc>
          <w:tcPr>
            <w:tcW w:w="256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Pilote</w:t>
            </w:r>
          </w:p>
        </w:tc>
        <w:tc>
          <w:tcPr>
            <w:tcW w:w="25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Fiche processus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MGT</w:t>
            </w:r>
          </w:p>
        </w:tc>
        <w:tc>
          <w:tcPr>
            <w:tcW w:w="320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Management et Leadership</w:t>
            </w:r>
          </w:p>
        </w:tc>
        <w:tc>
          <w:tcPr>
            <w:tcW w:w="256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Direction Générale</w:t>
            </w:r>
          </w:p>
        </w:tc>
        <w:tc>
          <w:tcPr>
            <w:tcW w:w="25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PS-MGT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320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Qualité et Amélioration Continue</w:t>
            </w:r>
          </w:p>
        </w:tc>
        <w:tc>
          <w:tcPr>
            <w:tcW w:w="256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Qualité</w:t>
            </w:r>
          </w:p>
        </w:tc>
        <w:tc>
          <w:tcPr>
            <w:tcW w:w="25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PS-QMS</w:t>
            </w:r>
          </w:p>
        </w:tc>
      </w:tr>
    </w:tbl>
    <w:p>
      <w:pPr>
        <w:spacing w:before="0" w:after="0"/>
      </w:pPr>
    </w:p>
    <w:p>
      <w:pPr>
        <w:pStyle w:val="Heading2"/>
      </w:pPr>
      <w:r>
        <w:t xml:space="preserve">3.2 Processus de réalisation</w:t>
      </w:r>
    </w:p>
    <w:p>
      <w:r>
        <w:t xml:space="preserve">Ces processus créent directement la valeur pour le client :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1281"/>
        <w:gridCol w:w="3203"/>
        <w:gridCol w:w="2563"/>
        <w:gridCol w:w="2591"/>
      </w:tblGrid>
      <w:tr>
        <w:trPr>
          <w:tblHeader/>
          <w:cantSplit/>
        </w:trPr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Code</w:t>
            </w:r>
          </w:p>
        </w:tc>
        <w:tc>
          <w:tcPr>
            <w:tcW w:w="320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Processus</w:t>
            </w:r>
          </w:p>
        </w:tc>
        <w:tc>
          <w:tcPr>
            <w:tcW w:w="256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Pilote</w:t>
            </w:r>
          </w:p>
        </w:tc>
        <w:tc>
          <w:tcPr>
            <w:tcW w:w="25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Fiche processus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SAL</w:t>
            </w:r>
          </w:p>
        </w:tc>
        <w:tc>
          <w:tcPr>
            <w:tcW w:w="320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Commercial et Relation Client</w:t>
            </w:r>
          </w:p>
        </w:tc>
        <w:tc>
          <w:tcPr>
            <w:tcW w:w="256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Commercial</w:t>
            </w:r>
          </w:p>
        </w:tc>
        <w:tc>
          <w:tcPr>
            <w:tcW w:w="25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PS-SAL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320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Opérations et Réalisation</w:t>
            </w:r>
          </w:p>
        </w:tc>
        <w:tc>
          <w:tcPr>
            <w:tcW w:w="256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Opérations</w:t>
            </w:r>
          </w:p>
        </w:tc>
        <w:tc>
          <w:tcPr>
            <w:tcW w:w="25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PS-OPS</w:t>
            </w:r>
          </w:p>
        </w:tc>
      </w:tr>
    </w:tbl>
    <w:p>
      <w:pPr>
        <w:spacing w:before="0" w:after="0"/>
      </w:pPr>
    </w:p>
    <w:p>
      <w:pPr>
        <w:pStyle w:val="Heading2"/>
      </w:pPr>
      <w:r>
        <w:t xml:space="preserve">3.3 Processus de support</w:t>
      </w:r>
    </w:p>
    <w:p>
      <w:r>
        <w:t xml:space="preserve">Ces processus fournissent les ressources nécessaires au fonctionnement des processus de management et de réalisation :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1281"/>
        <w:gridCol w:w="3203"/>
        <w:gridCol w:w="2563"/>
        <w:gridCol w:w="2591"/>
      </w:tblGrid>
      <w:tr>
        <w:trPr>
          <w:tblHeader/>
          <w:cantSplit/>
        </w:trPr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Code</w:t>
            </w:r>
          </w:p>
        </w:tc>
        <w:tc>
          <w:tcPr>
            <w:tcW w:w="320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Processus</w:t>
            </w:r>
          </w:p>
        </w:tc>
        <w:tc>
          <w:tcPr>
            <w:tcW w:w="2563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Pilote</w:t>
            </w:r>
          </w:p>
        </w:tc>
        <w:tc>
          <w:tcPr>
            <w:tcW w:w="259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Fiche processus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PUR</w:t>
            </w:r>
          </w:p>
        </w:tc>
        <w:tc>
          <w:tcPr>
            <w:tcW w:w="320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Achats et Prestataires Externes</w:t>
            </w:r>
          </w:p>
        </w:tc>
        <w:tc>
          <w:tcPr>
            <w:tcW w:w="2563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Achats</w:t>
            </w:r>
          </w:p>
        </w:tc>
        <w:tc>
          <w:tcPr>
            <w:tcW w:w="259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PS-PUR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HR</w:t>
            </w:r>
          </w:p>
        </w:tc>
        <w:tc>
          <w:tcPr>
            <w:tcW w:w="320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Ressources Humaines et Compétences</w:t>
            </w:r>
          </w:p>
        </w:tc>
        <w:tc>
          <w:tcPr>
            <w:tcW w:w="2563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Responsable RH</w:t>
            </w:r>
          </w:p>
        </w:tc>
        <w:tc>
          <w:tcPr>
            <w:tcW w:w="259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PS-HR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4. Matrice des interactions entre processus</w:t>
      </w:r>
    </w:p>
    <w:p>
      <w:r>
        <w:t xml:space="preserve">Le tableau ci-dessous décrit la nature des interactions entre chaque paire de processus. Ces interactions sont détaillées dans la section « Interactions du processus » de chaque fiche processus (PS-[CODE]).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1281"/>
        <w:gridCol w:w="1281"/>
        <w:gridCol w:w="7076"/>
      </w:tblGrid>
      <w:tr>
        <w:trPr>
          <w:tblHeader/>
          <w:cantSplit/>
        </w:trPr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</w:t>
            </w:r>
          </w:p>
        </w:tc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Vers</w:t>
            </w:r>
          </w:p>
        </w:tc>
        <w:tc>
          <w:tcPr>
            <w:tcW w:w="707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Nature de l’interaction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MGT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Politique qualité, objectifs, allocation des ressources, décisions stratégiques, orientations de la revue de direction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</w:t>
            </w:r>
          </w:p>
        </w:tc>
        <w:tc>
          <w:tcPr>
            <w:tcW w:w="70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Exigences documentaires, résultats d’audit, actions correctives, indicateurs de performance, retour d’expérience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SAL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Exigences client validées, bons de commande, spécifications, délais de livraison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SAL</w:t>
            </w:r>
          </w:p>
        </w:tc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70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Réclamations clients, données de satisfaction, retours et non-conformités client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SAL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Produits/services livrés, rapports de livraison, certificats de conformité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PUR</w:t>
            </w:r>
          </w:p>
        </w:tc>
        <w:tc>
          <w:tcPr>
            <w:tcW w:w="70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Besoins en matières premières, spécifications techniques, demandes d’achat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Données de production, non-conformités produit, résultats d’inspection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PUR</w:t>
            </w:r>
          </w:p>
        </w:tc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70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Produits/services achetés, rapports d’inspection à réception, certificats fournisseurs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PUR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Non-conformités fournisseurs, évaluations fournisseurs, données de performance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HR</w:t>
            </w:r>
          </w:p>
        </w:tc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</w:t>
            </w:r>
          </w:p>
        </w:tc>
        <w:tc>
          <w:tcPr>
            <w:tcW w:w="707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Personnel compétent, plans de formation, matrices de compétences, fiches de poste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Tous</w:t>
            </w:r>
          </w:p>
        </w:tc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MGT</w:t>
            </w:r>
          </w:p>
        </w:tc>
        <w:tc>
          <w:tcPr>
            <w:tcW w:w="707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Indicateurs de performance, données d’entrée pour la revue de direction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5. Logique du flux de valeur</w:t>
      </w:r>
    </w:p>
    <w:p>
      <w:r>
        <w:t xml:space="preserve">Le flux de valeur du SMQ suit la séquence suivante, du besoin client à la satisfaction client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Entrée : Exigences et attentes des clients et parties intéressées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SAL : Réception, revue et validation des exigences client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OPS : Planification, réalisation, contrôle et libération des produits/services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PUR : Approvisionnement et maîtrise des fournitures externes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HR : Mise à disposition de personnel compétent et sensibilisé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QMS : Surveillance, mesure, audit, amélioration continue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MGT : Pilotage stratégique, revue de direction, allocation des ressources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Sortie : Produits/services conformes, satisfaction client, amélioration des performances</w:t>
      </w:r>
    </w:p>
    <w:p>
      <w:pPr>
        <w:pStyle w:val="Heading1"/>
      </w:pPr>
      <w:r>
        <w:t xml:space="preserve">6. Correspondance avec l’ISO 9001:2015</w:t>
      </w:r>
    </w:p>
    <w:p>
      <w:r>
        <w:t xml:space="preserve">Chaque processus couvre un ensemble spécifique de clauses de la norme :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1281"/>
        <w:gridCol w:w="3631"/>
        <w:gridCol w:w="4726"/>
      </w:tblGrid>
      <w:tr>
        <w:trPr>
          <w:tblHeader/>
          <w:cantSplit/>
        </w:trPr>
        <w:tc>
          <w:tcPr>
            <w:tcW w:w="128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Code</w:t>
            </w:r>
          </w:p>
        </w:tc>
        <w:tc>
          <w:tcPr>
            <w:tcW w:w="3631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Processus</w:t>
            </w:r>
          </w:p>
        </w:tc>
        <w:tc>
          <w:tcPr>
            <w:tcW w:w="4726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Clauses ISO 9001:2015 couvertes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MGT</w:t>
            </w:r>
          </w:p>
        </w:tc>
        <w:tc>
          <w:tcPr>
            <w:tcW w:w="363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Management et Leadership</w:t>
            </w:r>
          </w:p>
        </w:tc>
        <w:tc>
          <w:tcPr>
            <w:tcW w:w="47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4.1, 4.2, 5.1, 5.2, 5.3, 6.2, 6.3, 9.3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QMS</w:t>
            </w:r>
          </w:p>
        </w:tc>
        <w:tc>
          <w:tcPr>
            <w:tcW w:w="363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Qualité et Amélioration Continue</w:t>
            </w:r>
          </w:p>
        </w:tc>
        <w:tc>
          <w:tcPr>
            <w:tcW w:w="472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4.3, 4.4, 6.1, 7.5, 9.1, 9.2, 10.1, 10.2, 10.3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SAL</w:t>
            </w:r>
          </w:p>
        </w:tc>
        <w:tc>
          <w:tcPr>
            <w:tcW w:w="363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Commercial et Relation Client</w:t>
            </w:r>
          </w:p>
        </w:tc>
        <w:tc>
          <w:tcPr>
            <w:tcW w:w="47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8.2, 9.1.2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OPS</w:t>
            </w:r>
          </w:p>
        </w:tc>
        <w:tc>
          <w:tcPr>
            <w:tcW w:w="363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Opérations et Réalisation</w:t>
            </w:r>
          </w:p>
        </w:tc>
        <w:tc>
          <w:tcPr>
            <w:tcW w:w="472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8.1, 8.5, 8.6, 8.7</w:t>
            </w:r>
          </w:p>
        </w:tc>
      </w:tr>
      <w:tr>
        <w:trPr>
          <w:cantSplit/>
        </w:trPr>
        <w:tc>
          <w:tcPr>
            <w:tcW w:w="128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PUR</w:t>
            </w:r>
          </w:p>
        </w:tc>
        <w:tc>
          <w:tcPr>
            <w:tcW w:w="3631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Achats et Prestataires Externes</w:t>
            </w:r>
          </w:p>
        </w:tc>
        <w:tc>
          <w:tcPr>
            <w:tcW w:w="4726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8.4</w:t>
            </w:r>
          </w:p>
        </w:tc>
      </w:tr>
      <w:tr>
        <w:trPr>
          <w:cantSplit/>
        </w:trPr>
        <w:tc>
          <w:tcPr>
            <w:tcW w:w="128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HR</w:t>
            </w:r>
          </w:p>
        </w:tc>
        <w:tc>
          <w:tcPr>
            <w:tcW w:w="3631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Ressources Humaines et Compétences</w:t>
            </w:r>
          </w:p>
        </w:tc>
        <w:tc>
          <w:tcPr>
            <w:tcW w:w="4726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7.1, 7.2, 7.3, 7.4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7. Historique des révisions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747"/>
        <w:gridCol w:w="1495"/>
        <w:gridCol w:w="1708"/>
        <w:gridCol w:w="5688"/>
      </w:tblGrid>
      <w:tr>
        <w:trPr>
          <w:tblHeader/>
          <w:cantSplit/>
        </w:trPr>
        <w:tc>
          <w:tcPr>
            <w:tcW w:w="747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</w:t>
            </w:r>
          </w:p>
        </w:tc>
        <w:tc>
          <w:tcPr>
            <w:tcW w:w="1495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w="170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Auteur</w:t>
            </w:r>
          </w:p>
        </w:tc>
        <w:tc>
          <w:tcPr>
            <w:tcW w:w="568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Description de la modification</w:t>
            </w:r>
          </w:p>
        </w:tc>
      </w:tr>
      <w:tr>
        <w:trPr>
          <w:cantSplit/>
        </w:trPr>
        <w:tc>
          <w:tcPr>
            <w:tcW w:w="74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49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2026-03-01</w:t>
            </w:r>
          </w:p>
        </w:tc>
        <w:tc>
          <w:tcPr>
            <w:tcW w:w="170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[Auteur]</w:t>
            </w:r>
          </w:p>
        </w:tc>
        <w:tc>
          <w:tcPr>
            <w:tcW w:w="568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Création initiale. Cartographie à 6 processus, matrice des interactions, correspondance ISO.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8. Approbation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349"/>
        <w:gridCol w:w="2349"/>
        <w:gridCol w:w="2590"/>
        <w:gridCol w:w="2350"/>
      </w:tblGrid>
      <w:tr>
        <w:trPr>
          <w:tblHeader/>
          <w:cantSplit/>
        </w:trPr>
        <w:tc>
          <w:tcPr>
            <w:tcW w:w="234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w="234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Nom</w:t>
            </w:r>
          </w:p>
        </w:tc>
        <w:tc>
          <w:tcPr>
            <w:tcW w:w="259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w="235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cantSplit/>
        </w:trPr>
        <w:tc>
          <w:tcPr>
            <w:tcW w:w="234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Rédigé par :</w:t>
            </w:r>
          </w:p>
        </w:tc>
        <w:tc>
          <w:tcPr>
            <w:tcW w:w="2349" w:type="dx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234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Vérifié par :</w:t>
            </w:r>
          </w:p>
        </w:tc>
        <w:tc>
          <w:tcPr>
            <w:tcW w:w="2349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234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Approuvé par :</w:t>
            </w:r>
          </w:p>
        </w:tc>
        <w:tc>
          <w:tcPr>
            <w:tcW w:w="2349" w:type="dx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vAlign w:val="center"/>
          </w:tcPr>
          <w:p>
            <w:pPr>
              <w:spacing w:before="40" w:after="40"/>
            </w:pPr>
          </w:p>
        </w:tc>
      </w:tr>
    </w:tbl>
    <w:p>
      <w:pPr>
        <w:spacing w:before="0" w:after="0"/>
      </w:pPr>
    </w:p>
    <w:p>
      <w:r>
        <w:t xml:space="preserve">Ce document est un document contrôlé. Les copies imprimées ne sont pas contrôlées. Vérifiez toujours la version en vigueur sur le portail SMQ.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Cartographie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Cartographie des processus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F-MGT-05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Relationship Id="rIdImg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Cartographie des processus</dc:title>
  <dc:subject>Cartographie F-MGT-05</dc:subject>
  <dc:creator>Hub Engineering Management Consulting</dc:creator>
  <cp:lastModifiedBy>Hub Engineering Management Consulting</cp:lastModifiedBy>
  <cp:keywords>F-MGT-05</cp:keywords>
  <dc:description>Modele documentaire edite par HEMC, hem-consulting.com. A personnaliser par l'organisme utilisateur.</dc:description>
  <cp:category>Cartographie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