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xmlns:wps="http://schemas.microsoft.com/office/word/2010/wordprocessingShape" xmlns:wpg="http://schemas.microsoft.com/office/word/2010/wordprocessingGroup" xmlns:mc="http://schemas.openxmlformats.org/markup-compatibility/2006" xmlns:v="urn:schemas-microsoft-com:vml" xmlns:o="urn:schemas-microsoft-com:office:office" xmlns:w10="urn:schemas-microsoft-com:office:word" xmlns:w14="http://schemas.microsoft.com/office/word/2010/wordml" xmlns:wp14="http://schemas.microsoft.com/office/word/2010/wordprocessingDrawing" mc:Ignorable="w14 wp14">
  <w:body>
    <w:p>
      <w:pPr>
        <w:spacing w:before="240" w:after="80"/>
      </w:pPr>
      <w:r>
        <w:rPr>
          <w:b/>
          <w:color w:val="1F4E79"/>
          <w:sz w:val="32"/>
          <w:szCs w:val="32"/>
        </w:rPr>
        <w:t xml:space="preserve">Qualité et Amélioration Continue</w:t>
      </w:r>
    </w:p>
    <w:p>
      <w:r>
        <w:rPr>
          <w:color w:val="595959"/>
          <w:sz w:val="18"/>
          <w:szCs w:val="18"/>
        </w:rPr>
        <w:t xml:space="preserve">ISO 9001:2015 · Cl. 4.4, 6.1, 7.5, 9, 10</w:t>
      </w:r>
    </w:p>
    <w:p>
      <w:pPr>
        <w:spacing w:before="0" w:after="240"/>
      </w:pPr>
      <w:r>
        <w:rPr>
          <w:color w:val="595959"/>
          <w:sz w:val="18"/>
          <w:szCs w:val="18"/>
        </w:rPr>
        <w:t xml:space="preserve">Référence : PS-QMS | Révision : 1 | Statut : Approuvé</w:t>
      </w:r>
    </w:p>
    <w:p>
      <w:pPr>
        <w:spacing w:before="240" w:after="80"/>
      </w:pPr>
      <w:r>
        <w:rPr>
          <w:b/>
          <w:color w:val="1F4E79"/>
          <w:sz w:val="24"/>
          <w:szCs w:val="24"/>
        </w:rPr>
        <w:t xml:space="preserve">Sommaire</w:t>
      </w:r>
    </w:p>
    <w:p>
      <w:pPr>
        <w:spacing w:before="0" w:after="120"/>
      </w:pPr>
      <w:r>
        <w:rPr>
          <w:i/>
          <w:color w:val="595959"/>
          <w:sz w:val="18"/>
          <w:szCs w:val="18"/>
        </w:rPr>
        <w:t xml:space="preserve">Sommaire automatique. Word l'actualise à l'ouverture. Sinon, Ctrl+A puis F9.</w:t>
      </w:r>
    </w:p>
    <w:p>
      <w:pPr>
        <w:pStyle w:val="TOC1"/>
        <w:tabs>
          <w:tab w:val="right" w:leader="dot" w:pos="9638"/>
        </w:tabs>
        <w:ind w:left="0"/>
        <w:rPr>
          <w:noProof/>
        </w:rPr>
      </w:pPr>
      <w:r>
        <w:fldChar w:fldCharType="begin"/>
      </w:r>
      <w:r>
        <w:instrText xml:space="preserve"> TOC \o "1-3" \h \z \u </w:instrText>
      </w:r>
      <w:r>
        <w:fldChar w:fldCharType="separate"/>
      </w:r>
      <w:hyperlink w:anchor="_Toc7000000" w:history="1">
        <w:r>
          <w:rPr>
            <w:rStyle w:val="Hyperlink"/>
            <w:noProof/>
          </w:rPr>
          <w:t xml:space="preserve">1. Objet</w:t>
        </w:r>
        <w:r>
          <w:rPr>
            <w:noProof/>
            <w:webHidden/>
          </w:rPr>
          <w:tab/>
        </w:r>
        <w:r>
          <w:rPr>
            <w:noProof/>
            <w:webHidden/>
          </w:rPr>
          <w:fldChar w:fldCharType="begin"/>
        </w:r>
        <w:r>
          <w:rPr>
            <w:noProof/>
            <w:webHidden/>
          </w:rPr>
          <w:instrText xml:space="preserve"> PAGEREF _Toc7000000 \h </w:instrText>
        </w:r>
        <w:r>
          <w:rPr>
            <w:noProof/>
            <w:webHidden/>
          </w:rPr>
          <w:fldChar w:fldCharType="separate"/>
        </w:r>
        <w:r>
          <w:rPr>
            <w:noProof/>
            <w:webHidden/>
          </w:rPr>
          <w:t>1</w:t>
        </w:r>
        <w:r>
          <w:rPr>
            <w:noProof/>
            <w:webHidden/>
          </w:rPr>
          <w:fldChar w:fldCharType="end"/>
        </w:r>
      </w:hyperlink>
    </w:p>
    <w:p>
      <w:pPr>
        <w:pStyle w:val="TOC1"/>
        <w:tabs>
          <w:tab w:val="right" w:leader="dot" w:pos="9638"/>
        </w:tabs>
        <w:ind w:left="0"/>
        <w:rPr>
          <w:noProof/>
        </w:rPr>
      </w:pPr>
      <w:hyperlink w:anchor="_Toc7000001" w:history="1">
        <w:r>
          <w:rPr>
            <w:rStyle w:val="Hyperlink"/>
            <w:noProof/>
          </w:rPr>
          <w:t xml:space="preserve">2. Maîtrise du document</w:t>
        </w:r>
        <w:r>
          <w:rPr>
            <w:noProof/>
            <w:webHidden/>
          </w:rPr>
          <w:tab/>
        </w:r>
        <w:r>
          <w:rPr>
            <w:noProof/>
            <w:webHidden/>
          </w:rPr>
          <w:fldChar w:fldCharType="begin"/>
        </w:r>
        <w:r>
          <w:rPr>
            <w:noProof/>
            <w:webHidden/>
          </w:rPr>
          <w:instrText xml:space="preserve"> PAGEREF _Toc7000001 \h </w:instrText>
        </w:r>
        <w:r>
          <w:rPr>
            <w:noProof/>
            <w:webHidden/>
          </w:rPr>
          <w:fldChar w:fldCharType="separate"/>
        </w:r>
        <w:r>
          <w:rPr>
            <w:noProof/>
            <w:webHidden/>
          </w:rPr>
          <w:t>1</w:t>
        </w:r>
        <w:r>
          <w:rPr>
            <w:noProof/>
            <w:webHidden/>
          </w:rPr>
          <w:fldChar w:fldCharType="end"/>
        </w:r>
      </w:hyperlink>
    </w:p>
    <w:p>
      <w:pPr>
        <w:pStyle w:val="TOC1"/>
        <w:tabs>
          <w:tab w:val="right" w:leader="dot" w:pos="9638"/>
        </w:tabs>
        <w:ind w:left="0"/>
        <w:rPr>
          <w:noProof/>
        </w:rPr>
      </w:pPr>
      <w:hyperlink w:anchor="_Toc7000002" w:history="1">
        <w:r>
          <w:rPr>
            <w:rStyle w:val="Hyperlink"/>
            <w:noProof/>
          </w:rPr>
          <w:t xml:space="preserve">3. Pilote du processus</w:t>
        </w:r>
        <w:r>
          <w:rPr>
            <w:noProof/>
            <w:webHidden/>
          </w:rPr>
          <w:tab/>
        </w:r>
        <w:r>
          <w:rPr>
            <w:noProof/>
            <w:webHidden/>
          </w:rPr>
          <w:fldChar w:fldCharType="begin"/>
        </w:r>
        <w:r>
          <w:rPr>
            <w:noProof/>
            <w:webHidden/>
          </w:rPr>
          <w:instrText xml:space="preserve"> PAGEREF _Toc7000002 \h </w:instrText>
        </w:r>
        <w:r>
          <w:rPr>
            <w:noProof/>
            <w:webHidden/>
          </w:rPr>
          <w:fldChar w:fldCharType="separate"/>
        </w:r>
        <w:r>
          <w:rPr>
            <w:noProof/>
            <w:webHidden/>
          </w:rPr>
          <w:t>1</w:t>
        </w:r>
        <w:r>
          <w:rPr>
            <w:noProof/>
            <w:webHidden/>
          </w:rPr>
          <w:fldChar w:fldCharType="end"/>
        </w:r>
      </w:hyperlink>
    </w:p>
    <w:p>
      <w:pPr>
        <w:pStyle w:val="TOC1"/>
        <w:tabs>
          <w:tab w:val="right" w:leader="dot" w:pos="9638"/>
        </w:tabs>
        <w:ind w:left="0"/>
        <w:rPr>
          <w:noProof/>
        </w:rPr>
      </w:pPr>
      <w:hyperlink w:anchor="_Toc7000003" w:history="1">
        <w:r>
          <w:rPr>
            <w:rStyle w:val="Hyperlink"/>
            <w:noProof/>
          </w:rPr>
          <w:t xml:space="preserve">4. Domaine d’application</w:t>
        </w:r>
        <w:r>
          <w:rPr>
            <w:noProof/>
            <w:webHidden/>
          </w:rPr>
          <w:tab/>
        </w:r>
        <w:r>
          <w:rPr>
            <w:noProof/>
            <w:webHidden/>
          </w:rPr>
          <w:fldChar w:fldCharType="begin"/>
        </w:r>
        <w:r>
          <w:rPr>
            <w:noProof/>
            <w:webHidden/>
          </w:rPr>
          <w:instrText xml:space="preserve"> PAGEREF _Toc7000003 \h </w:instrText>
        </w:r>
        <w:r>
          <w:rPr>
            <w:noProof/>
            <w:webHidden/>
          </w:rPr>
          <w:fldChar w:fldCharType="separate"/>
        </w:r>
        <w:r>
          <w:rPr>
            <w:noProof/>
            <w:webHidden/>
          </w:rPr>
          <w:t>2</w:t>
        </w:r>
        <w:r>
          <w:rPr>
            <w:noProof/>
            <w:webHidden/>
          </w:rPr>
          <w:fldChar w:fldCharType="end"/>
        </w:r>
      </w:hyperlink>
    </w:p>
    <w:p>
      <w:pPr>
        <w:pStyle w:val="TOC1"/>
        <w:tabs>
          <w:tab w:val="right" w:leader="dot" w:pos="9638"/>
        </w:tabs>
        <w:ind w:left="0"/>
        <w:rPr>
          <w:noProof/>
        </w:rPr>
      </w:pPr>
      <w:hyperlink w:anchor="_Toc7000004" w:history="1">
        <w:r>
          <w:rPr>
            <w:rStyle w:val="Hyperlink"/>
            <w:noProof/>
          </w:rPr>
          <w:t xml:space="preserve">5. Données d’entrée</w:t>
        </w:r>
        <w:r>
          <w:rPr>
            <w:noProof/>
            <w:webHidden/>
          </w:rPr>
          <w:tab/>
        </w:r>
        <w:r>
          <w:rPr>
            <w:noProof/>
            <w:webHidden/>
          </w:rPr>
          <w:fldChar w:fldCharType="begin"/>
        </w:r>
        <w:r>
          <w:rPr>
            <w:noProof/>
            <w:webHidden/>
          </w:rPr>
          <w:instrText xml:space="preserve"> PAGEREF _Toc7000004 \h </w:instrText>
        </w:r>
        <w:r>
          <w:rPr>
            <w:noProof/>
            <w:webHidden/>
          </w:rPr>
          <w:fldChar w:fldCharType="separate"/>
        </w:r>
        <w:r>
          <w:rPr>
            <w:noProof/>
            <w:webHidden/>
          </w:rPr>
          <w:t>2</w:t>
        </w:r>
        <w:r>
          <w:rPr>
            <w:noProof/>
            <w:webHidden/>
          </w:rPr>
          <w:fldChar w:fldCharType="end"/>
        </w:r>
      </w:hyperlink>
    </w:p>
    <w:p>
      <w:pPr>
        <w:pStyle w:val="TOC1"/>
        <w:tabs>
          <w:tab w:val="right" w:leader="dot" w:pos="9638"/>
        </w:tabs>
        <w:ind w:left="0"/>
        <w:rPr>
          <w:noProof/>
        </w:rPr>
      </w:pPr>
      <w:hyperlink w:anchor="_Toc7000005" w:history="1">
        <w:r>
          <w:rPr>
            <w:rStyle w:val="Hyperlink"/>
            <w:noProof/>
          </w:rPr>
          <w:t xml:space="preserve">6. Données de sortie</w:t>
        </w:r>
        <w:r>
          <w:rPr>
            <w:noProof/>
            <w:webHidden/>
          </w:rPr>
          <w:tab/>
        </w:r>
        <w:r>
          <w:rPr>
            <w:noProof/>
            <w:webHidden/>
          </w:rPr>
          <w:fldChar w:fldCharType="begin"/>
        </w:r>
        <w:r>
          <w:rPr>
            <w:noProof/>
            <w:webHidden/>
          </w:rPr>
          <w:instrText xml:space="preserve"> PAGEREF _Toc7000005 \h </w:instrText>
        </w:r>
        <w:r>
          <w:rPr>
            <w:noProof/>
            <w:webHidden/>
          </w:rPr>
          <w:fldChar w:fldCharType="separate"/>
        </w:r>
        <w:r>
          <w:rPr>
            <w:noProof/>
            <w:webHidden/>
          </w:rPr>
          <w:t>2</w:t>
        </w:r>
        <w:r>
          <w:rPr>
            <w:noProof/>
            <w:webHidden/>
          </w:rPr>
          <w:fldChar w:fldCharType="end"/>
        </w:r>
      </w:hyperlink>
    </w:p>
    <w:p>
      <w:pPr>
        <w:pStyle w:val="TOC1"/>
        <w:tabs>
          <w:tab w:val="right" w:leader="dot" w:pos="9638"/>
        </w:tabs>
        <w:ind w:left="0"/>
        <w:rPr>
          <w:noProof/>
        </w:rPr>
      </w:pPr>
      <w:hyperlink w:anchor="_Toc7000006" w:history="1">
        <w:r>
          <w:rPr>
            <w:rStyle w:val="Hyperlink"/>
            <w:noProof/>
          </w:rPr>
          <w:t xml:space="preserve">7. Activités clés</w:t>
        </w:r>
        <w:r>
          <w:rPr>
            <w:noProof/>
            <w:webHidden/>
          </w:rPr>
          <w:tab/>
        </w:r>
        <w:r>
          <w:rPr>
            <w:noProof/>
            <w:webHidden/>
          </w:rPr>
          <w:fldChar w:fldCharType="begin"/>
        </w:r>
        <w:r>
          <w:rPr>
            <w:noProof/>
            <w:webHidden/>
          </w:rPr>
          <w:instrText xml:space="preserve"> PAGEREF _Toc7000006 \h </w:instrText>
        </w:r>
        <w:r>
          <w:rPr>
            <w:noProof/>
            <w:webHidden/>
          </w:rPr>
          <w:fldChar w:fldCharType="separate"/>
        </w:r>
        <w:r>
          <w:rPr>
            <w:noProof/>
            <w:webHidden/>
          </w:rPr>
          <w:t>2</w:t>
        </w:r>
        <w:r>
          <w:rPr>
            <w:noProof/>
            <w:webHidden/>
          </w:rPr>
          <w:fldChar w:fldCharType="end"/>
        </w:r>
      </w:hyperlink>
    </w:p>
    <w:p>
      <w:pPr>
        <w:pStyle w:val="TOC1"/>
        <w:tabs>
          <w:tab w:val="right" w:leader="dot" w:pos="9638"/>
        </w:tabs>
        <w:ind w:left="0"/>
        <w:rPr>
          <w:noProof/>
        </w:rPr>
      </w:pPr>
      <w:hyperlink w:anchor="_Toc7000007" w:history="1">
        <w:r>
          <w:rPr>
            <w:rStyle w:val="Hyperlink"/>
            <w:noProof/>
          </w:rPr>
          <w:t xml:space="preserve">8. Logigramme du processus</w:t>
        </w:r>
        <w:r>
          <w:rPr>
            <w:noProof/>
            <w:webHidden/>
          </w:rPr>
          <w:tab/>
        </w:r>
        <w:r>
          <w:rPr>
            <w:noProof/>
            <w:webHidden/>
          </w:rPr>
          <w:fldChar w:fldCharType="begin"/>
        </w:r>
        <w:r>
          <w:rPr>
            <w:noProof/>
            <w:webHidden/>
          </w:rPr>
          <w:instrText xml:space="preserve"> PAGEREF _Toc7000007 \h </w:instrText>
        </w:r>
        <w:r>
          <w:rPr>
            <w:noProof/>
            <w:webHidden/>
          </w:rPr>
          <w:fldChar w:fldCharType="separate"/>
        </w:r>
        <w:r>
          <w:rPr>
            <w:noProof/>
            <w:webHidden/>
          </w:rPr>
          <w:t>3</w:t>
        </w:r>
        <w:r>
          <w:rPr>
            <w:noProof/>
            <w:webHidden/>
          </w:rPr>
          <w:fldChar w:fldCharType="end"/>
        </w:r>
      </w:hyperlink>
    </w:p>
    <w:p>
      <w:pPr>
        <w:pStyle w:val="TOC1"/>
        <w:tabs>
          <w:tab w:val="right" w:leader="dot" w:pos="9638"/>
        </w:tabs>
        <w:ind w:left="0"/>
        <w:rPr>
          <w:noProof/>
        </w:rPr>
      </w:pPr>
      <w:hyperlink w:anchor="_Toc7000008" w:history="1">
        <w:r>
          <w:rPr>
            <w:rStyle w:val="Hyperlink"/>
            <w:noProof/>
          </w:rPr>
          <w:t xml:space="preserve">9. Interactions du processus</w:t>
        </w:r>
        <w:r>
          <w:rPr>
            <w:noProof/>
            <w:webHidden/>
          </w:rPr>
          <w:tab/>
        </w:r>
        <w:r>
          <w:rPr>
            <w:noProof/>
            <w:webHidden/>
          </w:rPr>
          <w:fldChar w:fldCharType="begin"/>
        </w:r>
        <w:r>
          <w:rPr>
            <w:noProof/>
            <w:webHidden/>
          </w:rPr>
          <w:instrText xml:space="preserve"> PAGEREF _Toc7000008 \h </w:instrText>
        </w:r>
        <w:r>
          <w:rPr>
            <w:noProof/>
            <w:webHidden/>
          </w:rPr>
          <w:fldChar w:fldCharType="separate"/>
        </w:r>
        <w:r>
          <w:rPr>
            <w:noProof/>
            <w:webHidden/>
          </w:rPr>
          <w:t>5</w:t>
        </w:r>
        <w:r>
          <w:rPr>
            <w:noProof/>
            <w:webHidden/>
          </w:rPr>
          <w:fldChar w:fldCharType="end"/>
        </w:r>
      </w:hyperlink>
    </w:p>
    <w:p>
      <w:pPr>
        <w:pStyle w:val="TOC1"/>
        <w:tabs>
          <w:tab w:val="right" w:leader="dot" w:pos="9638"/>
        </w:tabs>
        <w:ind w:left="0"/>
        <w:rPr>
          <w:noProof/>
        </w:rPr>
      </w:pPr>
      <w:hyperlink w:anchor="_Toc7000009" w:history="1">
        <w:r>
          <w:rPr>
            <w:rStyle w:val="Hyperlink"/>
            <w:noProof/>
          </w:rPr>
          <w:t xml:space="preserve">10. Indicateurs de performance</w:t>
        </w:r>
        <w:r>
          <w:rPr>
            <w:noProof/>
            <w:webHidden/>
          </w:rPr>
          <w:tab/>
        </w:r>
        <w:r>
          <w:rPr>
            <w:noProof/>
            <w:webHidden/>
          </w:rPr>
          <w:fldChar w:fldCharType="begin"/>
        </w:r>
        <w:r>
          <w:rPr>
            <w:noProof/>
            <w:webHidden/>
          </w:rPr>
          <w:instrText xml:space="preserve"> PAGEREF _Toc7000009 \h </w:instrText>
        </w:r>
        <w:r>
          <w:rPr>
            <w:noProof/>
            <w:webHidden/>
          </w:rPr>
          <w:fldChar w:fldCharType="separate"/>
        </w:r>
        <w:r>
          <w:rPr>
            <w:noProof/>
            <w:webHidden/>
          </w:rPr>
          <w:t>5</w:t>
        </w:r>
        <w:r>
          <w:rPr>
            <w:noProof/>
            <w:webHidden/>
          </w:rPr>
          <w:fldChar w:fldCharType="end"/>
        </w:r>
      </w:hyperlink>
    </w:p>
    <w:p>
      <w:pPr>
        <w:pStyle w:val="TOC1"/>
        <w:tabs>
          <w:tab w:val="right" w:leader="dot" w:pos="9638"/>
        </w:tabs>
        <w:ind w:left="0"/>
        <w:rPr>
          <w:noProof/>
        </w:rPr>
      </w:pPr>
      <w:hyperlink w:anchor="_Toc7000010" w:history="1">
        <w:r>
          <w:rPr>
            <w:rStyle w:val="Hyperlink"/>
            <w:noProof/>
          </w:rPr>
          <w:t xml:space="preserve">11. Risques et points de maîtrise</w:t>
        </w:r>
        <w:r>
          <w:rPr>
            <w:noProof/>
            <w:webHidden/>
          </w:rPr>
          <w:tab/>
        </w:r>
        <w:r>
          <w:rPr>
            <w:noProof/>
            <w:webHidden/>
          </w:rPr>
          <w:fldChar w:fldCharType="begin"/>
        </w:r>
        <w:r>
          <w:rPr>
            <w:noProof/>
            <w:webHidden/>
          </w:rPr>
          <w:instrText xml:space="preserve"> PAGEREF _Toc7000010 \h </w:instrText>
        </w:r>
        <w:r>
          <w:rPr>
            <w:noProof/>
            <w:webHidden/>
          </w:rPr>
          <w:fldChar w:fldCharType="separate"/>
        </w:r>
        <w:r>
          <w:rPr>
            <w:noProof/>
            <w:webHidden/>
          </w:rPr>
          <w:t>5</w:t>
        </w:r>
        <w:r>
          <w:rPr>
            <w:noProof/>
            <w:webHidden/>
          </w:rPr>
          <w:fldChar w:fldCharType="end"/>
        </w:r>
      </w:hyperlink>
    </w:p>
    <w:p>
      <w:pPr>
        <w:pStyle w:val="TOC1"/>
        <w:tabs>
          <w:tab w:val="right" w:leader="dot" w:pos="9638"/>
        </w:tabs>
        <w:ind w:left="0"/>
        <w:rPr>
          <w:noProof/>
        </w:rPr>
      </w:pPr>
      <w:hyperlink w:anchor="_Toc7000011" w:history="1">
        <w:r>
          <w:rPr>
            <w:rStyle w:val="Hyperlink"/>
            <w:noProof/>
          </w:rPr>
          <w:t xml:space="preserve">12. Documents et enregistrements associés</w:t>
        </w:r>
        <w:r>
          <w:rPr>
            <w:noProof/>
            <w:webHidden/>
          </w:rPr>
          <w:tab/>
        </w:r>
        <w:r>
          <w:rPr>
            <w:noProof/>
            <w:webHidden/>
          </w:rPr>
          <w:fldChar w:fldCharType="begin"/>
        </w:r>
        <w:r>
          <w:rPr>
            <w:noProof/>
            <w:webHidden/>
          </w:rPr>
          <w:instrText xml:space="preserve"> PAGEREF _Toc7000011 \h </w:instrText>
        </w:r>
        <w:r>
          <w:rPr>
            <w:noProof/>
            <w:webHidden/>
          </w:rPr>
          <w:fldChar w:fldCharType="separate"/>
        </w:r>
        <w:r>
          <w:rPr>
            <w:noProof/>
            <w:webHidden/>
          </w:rPr>
          <w:t>5</w:t>
        </w:r>
        <w:r>
          <w:rPr>
            <w:noProof/>
            <w:webHidden/>
          </w:rPr>
          <w:fldChar w:fldCharType="end"/>
        </w:r>
      </w:hyperlink>
    </w:p>
    <w:p>
      <w:pPr>
        <w:pStyle w:val="TOC1"/>
        <w:tabs>
          <w:tab w:val="right" w:leader="dot" w:pos="9638"/>
        </w:tabs>
        <w:ind w:left="0"/>
        <w:rPr>
          <w:noProof/>
        </w:rPr>
      </w:pPr>
      <w:hyperlink w:anchor="_Toc7000012" w:history="1">
        <w:r>
          <w:rPr>
            <w:rStyle w:val="Hyperlink"/>
            <w:noProof/>
          </w:rPr>
          <w:t xml:space="preserve">13. Historique des révisions</w:t>
        </w:r>
        <w:r>
          <w:rPr>
            <w:noProof/>
            <w:webHidden/>
          </w:rPr>
          <w:tab/>
        </w:r>
        <w:r>
          <w:rPr>
            <w:noProof/>
            <w:webHidden/>
          </w:rPr>
          <w:fldChar w:fldCharType="begin"/>
        </w:r>
        <w:r>
          <w:rPr>
            <w:noProof/>
            <w:webHidden/>
          </w:rPr>
          <w:instrText xml:space="preserve"> PAGEREF _Toc7000012 \h </w:instrText>
        </w:r>
        <w:r>
          <w:rPr>
            <w:noProof/>
            <w:webHidden/>
          </w:rPr>
          <w:fldChar w:fldCharType="separate"/>
        </w:r>
        <w:r>
          <w:rPr>
            <w:noProof/>
            <w:webHidden/>
          </w:rPr>
          <w:t>6</w:t>
        </w:r>
        <w:r>
          <w:rPr>
            <w:noProof/>
            <w:webHidden/>
          </w:rPr>
          <w:fldChar w:fldCharType="end"/>
        </w:r>
      </w:hyperlink>
    </w:p>
    <w:p>
      <w:pPr>
        <w:pStyle w:val="TOC1"/>
        <w:tabs>
          <w:tab w:val="right" w:leader="dot" w:pos="9638"/>
        </w:tabs>
        <w:ind w:left="0"/>
        <w:rPr>
          <w:noProof/>
        </w:rPr>
      </w:pPr>
      <w:hyperlink w:anchor="_Toc7000013" w:history="1">
        <w:r>
          <w:rPr>
            <w:rStyle w:val="Hyperlink"/>
            <w:noProof/>
          </w:rPr>
          <w:t xml:space="preserve">14. Approbation</w:t>
        </w:r>
        <w:r>
          <w:rPr>
            <w:noProof/>
            <w:webHidden/>
          </w:rPr>
          <w:tab/>
        </w:r>
        <w:r>
          <w:rPr>
            <w:noProof/>
            <w:webHidden/>
          </w:rPr>
          <w:fldChar w:fldCharType="begin"/>
        </w:r>
        <w:r>
          <w:rPr>
            <w:noProof/>
            <w:webHidden/>
          </w:rPr>
          <w:instrText xml:space="preserve"> PAGEREF _Toc7000013 \h </w:instrText>
        </w:r>
        <w:r>
          <w:rPr>
            <w:noProof/>
            <w:webHidden/>
          </w:rPr>
          <w:fldChar w:fldCharType="separate"/>
        </w:r>
        <w:r>
          <w:rPr>
            <w:noProof/>
            <w:webHidden/>
          </w:rPr>
          <w:t>6</w:t>
        </w:r>
        <w:r>
          <w:rPr>
            <w:noProof/>
            <w:webHidden/>
          </w:rPr>
          <w:fldChar w:fldCharType="end"/>
        </w:r>
      </w:hyperlink>
      <w:r>
        <w:fldChar w:fldCharType="end"/>
      </w:r>
    </w:p>
    <w:p>
      <w:pPr>
        <w:pStyle w:val="Heading1"/>
      </w:pPr>
      <w:bookmarkStart w:id="970000" w:name="_Toc7000000"/>
      <w:r>
        <w:t xml:space="preserve">1. Objet</w:t>
      </w:r>
      <w:bookmarkEnd w:id="970000"/>
    </w:p>
    <w:p>
      <w:r>
        <w:t xml:space="preserve">Cette fiche processus définit le processus « Qualité et Amélioration Continue » au sein du Système de Management de la Qualité de [Nom de l’organisme]. Elle établit la finalité du processus, ses données d’entrée et de sortie, ses activités clés, ses interactions avec les autres processus, ses indicateurs de performance et ses risques, conformément aux exigences de l’ISO 9001:2015 Cl. 4.4, 6.1, 7.5, 9, 10.</w:t>
      </w:r>
    </w:p>
    <w:p>
      <w:pPr>
        <w:pStyle w:val="Heading1"/>
      </w:pPr>
      <w:bookmarkStart w:id="970001" w:name="_Toc7000001"/>
      <w:r>
        <w:t xml:space="preserve">2. Maîtrise du document</w:t>
      </w:r>
      <w:bookmarkEnd w:id="970001"/>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2410"/>
        <w:gridCol w:w="2410"/>
        <w:gridCol w:w="2410"/>
        <w:gridCol w:w="2408"/>
      </w:tblGrid>
      <w:tr>
        <w:trPr>
          <w:tblHeader/>
          <w:cantSplit/>
        </w:trPr>
        <w:tc>
          <w:tcPr>
            <w:tcW w:w="2410" w:type="dxa"/>
            <w:shd w:val="clear" w:color="auto" w:fill="1F4E79"/>
            <w:vAlign w:val="center"/>
          </w:tcPr>
          <w:p>
            <w:pPr>
              <w:spacing w:before="40" w:after="40"/>
            </w:pPr>
            <w:r>
              <w:rPr>
                <w:b/>
                <w:color w:val="FFFFFF"/>
                <w:sz w:val="18"/>
                <w:szCs w:val="18"/>
              </w:rPr>
              <w:t xml:space="preserve">Référence</w:t>
            </w:r>
          </w:p>
        </w:tc>
        <w:tc>
          <w:tcPr>
            <w:tcW w:w="2410" w:type="dxa"/>
            <w:shd w:val="clear" w:color="auto" w:fill="1F4E79"/>
            <w:vAlign w:val="center"/>
          </w:tcPr>
          <w:p>
            <w:pPr>
              <w:spacing w:before="40" w:after="40"/>
            </w:pPr>
            <w:r>
              <w:rPr>
                <w:b/>
                <w:color w:val="FFFFFF"/>
                <w:sz w:val="18"/>
                <w:szCs w:val="18"/>
              </w:rPr>
              <w:t xml:space="preserve">PS-QMS</w:t>
            </w:r>
          </w:p>
        </w:tc>
        <w:tc>
          <w:tcPr>
            <w:tcW w:w="2410" w:type="dxa"/>
            <w:shd w:val="clear" w:color="auto" w:fill="1F4E79"/>
            <w:vAlign w:val="center"/>
          </w:tcPr>
          <w:p>
            <w:pPr>
              <w:spacing w:before="40" w:after="40"/>
            </w:pPr>
            <w:r>
              <w:rPr>
                <w:b/>
                <w:color w:val="FFFFFF"/>
                <w:sz w:val="18"/>
                <w:szCs w:val="18"/>
              </w:rPr>
              <w:t xml:space="preserve">Révision</w:t>
            </w:r>
          </w:p>
        </w:tc>
        <w:tc>
          <w:tcPr>
            <w:tcW w:w="2408" w:type="dxa"/>
            <w:shd w:val="clear" w:color="auto" w:fill="1F4E79"/>
            <w:vAlign w:val="center"/>
          </w:tcPr>
          <w:p>
            <w:pPr>
              <w:spacing w:before="40" w:after="40"/>
            </w:pPr>
            <w:r>
              <w:rPr>
                <w:b/>
                <w:color w:val="FFFFFF"/>
                <w:sz w:val="18"/>
                <w:szCs w:val="18"/>
              </w:rPr>
              <w:t xml:space="preserve">Rév. 1</w:t>
            </w:r>
          </w:p>
        </w:tc>
      </w:tr>
      <w:tr>
        <w:trPr>
          <w:cantSplit/>
        </w:trPr>
        <w:tc>
          <w:tcPr>
            <w:tcW w:w="2410" w:type="dxa"/>
            <w:vAlign w:val="center"/>
          </w:tcPr>
          <w:p>
            <w:pPr>
              <w:spacing w:before="40" w:after="40"/>
            </w:pPr>
            <w:r>
              <w:rPr>
                <w:sz w:val="18"/>
                <w:szCs w:val="18"/>
              </w:rPr>
              <w:t xml:space="preserve">Pilote du processus</w:t>
            </w:r>
          </w:p>
        </w:tc>
        <w:tc>
          <w:tcPr>
            <w:tcW w:w="2410" w:type="dxa"/>
            <w:vAlign w:val="center"/>
          </w:tcPr>
          <w:p>
            <w:pPr>
              <w:spacing w:before="40" w:after="40"/>
            </w:pPr>
            <w:r>
              <w:rPr>
                <w:sz w:val="18"/>
                <w:szCs w:val="18"/>
              </w:rPr>
              <w:t xml:space="preserve">Responsable Qualité</w:t>
            </w:r>
          </w:p>
        </w:tc>
        <w:tc>
          <w:tcPr>
            <w:tcW w:w="2410" w:type="dxa"/>
            <w:vAlign w:val="center"/>
          </w:tcPr>
          <w:p>
            <w:pPr>
              <w:spacing w:before="40" w:after="40"/>
            </w:pPr>
            <w:r>
              <w:rPr>
                <w:sz w:val="18"/>
                <w:szCs w:val="18"/>
              </w:rPr>
              <w:t xml:space="preserve">Date d’effet</w:t>
            </w:r>
          </w:p>
        </w:tc>
        <w:tc>
          <w:tcPr>
            <w:tcW w:w="2408" w:type="dxa"/>
            <w:vAlign w:val="center"/>
          </w:tcPr>
          <w:p>
            <w:pPr>
              <w:spacing w:before="40" w:after="40"/>
            </w:pPr>
            <w:r>
              <w:rPr>
                <w:sz w:val="18"/>
                <w:szCs w:val="18"/>
              </w:rPr>
              <w:t xml:space="preserve">2026-03-01</w:t>
            </w:r>
          </w:p>
        </w:tc>
      </w:tr>
      <w:tr>
        <w:trPr>
          <w:cantSplit/>
        </w:trPr>
        <w:tc>
          <w:tcPr>
            <w:tcW w:w="2410" w:type="dxa"/>
            <w:shd w:val="clear" w:color="auto" w:fill="F2F6FA"/>
            <w:vAlign w:val="center"/>
          </w:tcPr>
          <w:p>
            <w:pPr>
              <w:spacing w:before="40" w:after="40"/>
            </w:pPr>
            <w:r>
              <w:rPr>
                <w:sz w:val="18"/>
                <w:szCs w:val="18"/>
              </w:rPr>
              <w:t xml:space="preserve">Référence ISO</w:t>
            </w:r>
          </w:p>
        </w:tc>
        <w:tc>
          <w:tcPr>
            <w:tcW w:w="2410" w:type="dxa"/>
            <w:shd w:val="clear" w:color="auto" w:fill="F2F6FA"/>
            <w:vAlign w:val="center"/>
          </w:tcPr>
          <w:p>
            <w:pPr>
              <w:spacing w:before="40" w:after="40"/>
            </w:pPr>
            <w:r>
              <w:rPr>
                <w:sz w:val="18"/>
                <w:szCs w:val="18"/>
              </w:rPr>
              <w:t xml:space="preserve">ISO 9001:2015 Cl. 4.4, 6.1, 7.5, 9, 10</w:t>
            </w:r>
          </w:p>
        </w:tc>
        <w:tc>
          <w:tcPr>
            <w:tcW w:w="2410" w:type="dxa"/>
            <w:shd w:val="clear" w:color="auto" w:fill="F2F6FA"/>
            <w:vAlign w:val="center"/>
          </w:tcPr>
          <w:p>
            <w:pPr>
              <w:spacing w:before="40" w:after="40"/>
            </w:pPr>
            <w:r>
              <w:rPr>
                <w:sz w:val="18"/>
                <w:szCs w:val="18"/>
              </w:rPr>
              <w:t xml:space="preserve">Prochaine revue</w:t>
            </w:r>
          </w:p>
        </w:tc>
        <w:tc>
          <w:tcPr>
            <w:tcW w:w="2408" w:type="dxa"/>
            <w:shd w:val="clear" w:color="auto" w:fill="F2F6FA"/>
            <w:vAlign w:val="center"/>
          </w:tcPr>
          <w:p>
            <w:pPr>
              <w:spacing w:before="40" w:after="40"/>
            </w:pPr>
            <w:r>
              <w:rPr>
                <w:sz w:val="18"/>
                <w:szCs w:val="18"/>
              </w:rPr>
              <w:t xml:space="preserve">2027-03-01</w:t>
            </w:r>
          </w:p>
        </w:tc>
      </w:tr>
      <w:tr>
        <w:trPr>
          <w:cantSplit/>
        </w:trPr>
        <w:tc>
          <w:tcPr>
            <w:tcW w:w="2410" w:type="dxa"/>
            <w:vAlign w:val="center"/>
          </w:tcPr>
          <w:p>
            <w:pPr>
              <w:spacing w:before="40" w:after="40"/>
            </w:pPr>
            <w:r>
              <w:rPr>
                <w:sz w:val="18"/>
                <w:szCs w:val="18"/>
              </w:rPr>
              <w:t xml:space="preserve">Classification</w:t>
            </w:r>
          </w:p>
        </w:tc>
        <w:tc>
          <w:tcPr>
            <w:tcW w:w="2410" w:type="dxa"/>
            <w:vAlign w:val="center"/>
          </w:tcPr>
          <w:p>
            <w:pPr>
              <w:spacing w:before="40" w:after="40"/>
            </w:pPr>
            <w:r>
              <w:rPr>
                <w:sz w:val="18"/>
                <w:szCs w:val="18"/>
              </w:rPr>
              <w:t xml:space="preserve">Document contrôlé</w:t>
            </w:r>
          </w:p>
        </w:tc>
        <w:tc>
          <w:tcPr>
            <w:tcW w:w="2410" w:type="dxa"/>
            <w:vAlign w:val="center"/>
          </w:tcPr>
          <w:p>
            <w:pPr>
              <w:spacing w:before="40" w:after="40"/>
            </w:pPr>
            <w:r>
              <w:rPr>
                <w:sz w:val="18"/>
                <w:szCs w:val="18"/>
              </w:rPr>
              <w:t xml:space="preserve">Statut</w:t>
            </w:r>
          </w:p>
        </w:tc>
        <w:tc>
          <w:tcPr>
            <w:tcW w:w="2408" w:type="dxa"/>
            <w:vAlign w:val="center"/>
          </w:tcPr>
          <w:p>
            <w:pPr>
              <w:spacing w:before="40" w:after="40"/>
            </w:pPr>
            <w:r>
              <w:rPr>
                <w:sz w:val="18"/>
                <w:szCs w:val="18"/>
              </w:rPr>
              <w:t xml:space="preserve">Approuvé</w:t>
            </w:r>
          </w:p>
        </w:tc>
      </w:tr>
    </w:tbl>
    <w:p>
      <w:pPr>
        <w:spacing w:before="0" w:after="0"/>
      </w:pPr>
    </w:p>
    <w:p>
      <w:pPr>
        <w:pStyle w:val="Heading1"/>
      </w:pPr>
      <w:bookmarkStart w:id="970002" w:name="_Toc7000002"/>
      <w:r>
        <w:t xml:space="preserve">3. Pilote du processus</w:t>
      </w:r>
      <w:bookmarkEnd w:id="970002"/>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2563"/>
        <w:gridCol w:w="7075"/>
      </w:tblGrid>
      <w:tr>
        <w:trPr>
          <w:tblHeader/>
          <w:cantSplit/>
        </w:trPr>
        <w:tc>
          <w:tcPr>
            <w:tcW w:w="2563" w:type="dxa"/>
            <w:shd w:val="clear" w:color="auto" w:fill="1F4E79"/>
            <w:vAlign w:val="center"/>
          </w:tcPr>
          <w:p>
            <w:pPr>
              <w:spacing w:before="40" w:after="40"/>
            </w:pPr>
            <w:r>
              <w:rPr>
                <w:b/>
                <w:color w:val="FFFFFF"/>
                <w:sz w:val="18"/>
                <w:szCs w:val="18"/>
              </w:rPr>
              <w:t xml:space="preserve">Pilote</w:t>
            </w:r>
          </w:p>
        </w:tc>
        <w:tc>
          <w:tcPr>
            <w:tcW w:w="7075" w:type="dxa"/>
            <w:shd w:val="clear" w:color="auto" w:fill="1F4E79"/>
            <w:vAlign w:val="center"/>
          </w:tcPr>
          <w:p>
            <w:pPr>
              <w:spacing w:before="40" w:after="40"/>
            </w:pPr>
            <w:r>
              <w:rPr>
                <w:b/>
                <w:color w:val="FFFFFF"/>
                <w:sz w:val="18"/>
                <w:szCs w:val="18"/>
              </w:rPr>
              <w:t xml:space="preserve">Responsable Qualité</w:t>
            </w:r>
          </w:p>
        </w:tc>
      </w:tr>
      <w:tr>
        <w:trPr>
          <w:cantSplit/>
        </w:trPr>
        <w:tc>
          <w:tcPr>
            <w:tcW w:w="2563" w:type="dxa"/>
            <w:vAlign w:val="center"/>
          </w:tcPr>
          <w:p>
            <w:pPr>
              <w:spacing w:before="40" w:after="40"/>
            </w:pPr>
            <w:r>
              <w:rPr>
                <w:sz w:val="18"/>
                <w:szCs w:val="18"/>
              </w:rPr>
              <w:t xml:space="preserve">Responsabilité</w:t>
            </w:r>
          </w:p>
        </w:tc>
        <w:tc>
          <w:tcPr>
            <w:tcW w:w="7075" w:type="dxa"/>
            <w:vAlign w:val="center"/>
          </w:tcPr>
          <w:p>
            <w:pPr>
              <w:spacing w:before="40" w:after="40"/>
            </w:pPr>
            <w:r>
              <w:rPr>
                <w:sz w:val="18"/>
                <w:szCs w:val="18"/>
              </w:rPr>
              <w:t xml:space="preserve">Le Responsable Qualité est garant du bon fonctionnement du SMQ. Il coordonne les audits, gère les non-conformités, pilote l’amélioration continue et rend compte à la Direction.</w:t>
            </w:r>
          </w:p>
        </w:tc>
      </w:tr>
    </w:tbl>
    <w:p>
      <w:pPr>
        <w:spacing w:before="0" w:after="0"/>
      </w:pPr>
    </w:p>
    <w:p>
      <w:pPr>
        <w:pStyle w:val="Heading1"/>
      </w:pPr>
      <w:bookmarkStart w:id="970003" w:name="_Toc7000003"/>
      <w:r>
        <w:t xml:space="preserve">4. Domaine d’application</w:t>
      </w:r>
      <w:bookmarkEnd w:id="970003"/>
    </w:p>
    <w:p>
      <w:r>
        <w:t xml:space="preserve">Ce processus couvre les activités suivantes :</w:t>
      </w:r>
    </w:p>
    <w:p>
      <w:pPr>
        <w:pStyle w:val="ListParagraph"/>
        <w:numPr>
          <w:ilvl w:val="0"/>
          <w:numId w:val="1"/>
        </w:numPr>
        <w:spacing w:after="60"/>
      </w:pPr>
      <w:r>
        <w:t xml:space="preserve">Maîtrise de l’information documentée (Clause 7.5)</w:t>
      </w:r>
    </w:p>
    <w:p>
      <w:pPr>
        <w:pStyle w:val="ListParagraph"/>
        <w:numPr>
          <w:ilvl w:val="0"/>
          <w:numId w:val="1"/>
        </w:numPr>
        <w:spacing w:after="60"/>
      </w:pPr>
      <w:r>
        <w:t xml:space="preserve">Gestion des risques et opportunités (Clause 6.1)</w:t>
      </w:r>
    </w:p>
    <w:p>
      <w:pPr>
        <w:pStyle w:val="ListParagraph"/>
        <w:numPr>
          <w:ilvl w:val="0"/>
          <w:numId w:val="1"/>
        </w:numPr>
        <w:spacing w:after="60"/>
      </w:pPr>
      <w:r>
        <w:t xml:space="preserve">Audit interne (Clause 9.2)</w:t>
      </w:r>
    </w:p>
    <w:p>
      <w:pPr>
        <w:pStyle w:val="ListParagraph"/>
        <w:numPr>
          <w:ilvl w:val="0"/>
          <w:numId w:val="1"/>
        </w:numPr>
        <w:spacing w:after="60"/>
      </w:pPr>
      <w:r>
        <w:t xml:space="preserve">Gestion des non-conformités et actions correctives (Clause 10.2)</w:t>
      </w:r>
    </w:p>
    <w:p>
      <w:pPr>
        <w:pStyle w:val="ListParagraph"/>
        <w:numPr>
          <w:ilvl w:val="0"/>
          <w:numId w:val="1"/>
        </w:numPr>
        <w:spacing w:after="60"/>
      </w:pPr>
      <w:r>
        <w:t xml:space="preserve">Surveillance et mesure des performances (Clause 9.1)</w:t>
      </w:r>
    </w:p>
    <w:p>
      <w:pPr>
        <w:pStyle w:val="ListParagraph"/>
        <w:numPr>
          <w:ilvl w:val="0"/>
          <w:numId w:val="1"/>
        </w:numPr>
        <w:spacing w:after="60"/>
      </w:pPr>
      <w:r>
        <w:t xml:space="preserve">Amélioration continue (Clause 10.3)</w:t>
      </w:r>
    </w:p>
    <w:p>
      <w:pPr>
        <w:pStyle w:val="Heading1"/>
      </w:pPr>
      <w:bookmarkStart w:id="970004" w:name="_Toc7000004"/>
      <w:r>
        <w:t xml:space="preserve">5. Données d’entrée</w:t>
      </w:r>
      <w:bookmarkEnd w:id="970004"/>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3631"/>
        <w:gridCol w:w="2990"/>
        <w:gridCol w:w="3017"/>
      </w:tblGrid>
      <w:tr>
        <w:trPr>
          <w:tblHeader/>
          <w:cantSplit/>
        </w:trPr>
        <w:tc>
          <w:tcPr>
            <w:tcW w:w="3631" w:type="dxa"/>
            <w:shd w:val="clear" w:color="auto" w:fill="1F4E79"/>
            <w:vAlign w:val="center"/>
          </w:tcPr>
          <w:p>
            <w:pPr>
              <w:spacing w:before="40" w:after="40"/>
            </w:pPr>
            <w:r>
              <w:rPr>
                <w:b/>
                <w:color w:val="FFFFFF"/>
                <w:sz w:val="18"/>
                <w:szCs w:val="18"/>
              </w:rPr>
              <w:t xml:space="preserve">Donnée d’entrée</w:t>
            </w:r>
          </w:p>
        </w:tc>
        <w:tc>
          <w:tcPr>
            <w:tcW w:w="2990" w:type="dxa"/>
            <w:shd w:val="clear" w:color="auto" w:fill="1F4E79"/>
            <w:vAlign w:val="center"/>
          </w:tcPr>
          <w:p>
            <w:pPr>
              <w:spacing w:before="40" w:after="40"/>
            </w:pPr>
            <w:r>
              <w:rPr>
                <w:b/>
                <w:color w:val="FFFFFF"/>
                <w:sz w:val="18"/>
                <w:szCs w:val="18"/>
              </w:rPr>
              <w:t xml:space="preserve">Source</w:t>
            </w:r>
          </w:p>
        </w:tc>
        <w:tc>
          <w:tcPr>
            <w:tcW w:w="3017" w:type="dxa"/>
            <w:shd w:val="clear" w:color="auto" w:fill="1F4E79"/>
            <w:vAlign w:val="center"/>
          </w:tcPr>
          <w:p>
            <w:pPr>
              <w:spacing w:before="40" w:after="40"/>
            </w:pPr>
            <w:r>
              <w:rPr>
                <w:b/>
                <w:color w:val="FFFFFF"/>
                <w:sz w:val="18"/>
                <w:szCs w:val="18"/>
              </w:rPr>
              <w:t xml:space="preserve">Référence</w:t>
            </w:r>
          </w:p>
        </w:tc>
      </w:tr>
      <w:tr>
        <w:trPr>
          <w:cantSplit/>
        </w:trPr>
        <w:tc>
          <w:tcPr>
            <w:tcW w:w="3631" w:type="dxa"/>
            <w:vAlign w:val="center"/>
          </w:tcPr>
          <w:p>
            <w:pPr>
              <w:spacing w:before="40" w:after="40"/>
            </w:pPr>
            <w:r>
              <w:rPr>
                <w:sz w:val="18"/>
                <w:szCs w:val="18"/>
              </w:rPr>
              <w:t xml:space="preserve">Rapports d’audit</w:t>
            </w:r>
          </w:p>
        </w:tc>
        <w:tc>
          <w:tcPr>
            <w:tcW w:w="2990" w:type="dxa"/>
            <w:vAlign w:val="center"/>
          </w:tcPr>
          <w:p>
            <w:pPr>
              <w:spacing w:before="40" w:after="40"/>
            </w:pPr>
            <w:r>
              <w:rPr>
                <w:sz w:val="18"/>
                <w:szCs w:val="18"/>
              </w:rPr>
              <w:t xml:space="preserve">Auditeurs internes</w:t>
            </w:r>
          </w:p>
        </w:tc>
        <w:tc>
          <w:tcPr>
            <w:tcW w:w="3017" w:type="dxa"/>
            <w:vAlign w:val="center"/>
          </w:tcPr>
          <w:p>
            <w:pPr>
              <w:spacing w:before="40" w:after="40"/>
            </w:pPr>
            <w:r>
              <w:rPr>
                <w:sz w:val="18"/>
                <w:szCs w:val="18"/>
              </w:rPr>
              <w:t xml:space="preserve">F-QMS-03</w:t>
            </w:r>
          </w:p>
        </w:tc>
      </w:tr>
      <w:tr>
        <w:trPr>
          <w:cantSplit/>
        </w:trPr>
        <w:tc>
          <w:tcPr>
            <w:tcW w:w="3631" w:type="dxa"/>
            <w:shd w:val="clear" w:color="auto" w:fill="F2F6FA"/>
            <w:vAlign w:val="center"/>
          </w:tcPr>
          <w:p>
            <w:pPr>
              <w:spacing w:before="40" w:after="40"/>
            </w:pPr>
            <w:r>
              <w:rPr>
                <w:sz w:val="18"/>
                <w:szCs w:val="18"/>
              </w:rPr>
              <w:t xml:space="preserve">Réclamations clients</w:t>
            </w:r>
          </w:p>
        </w:tc>
        <w:tc>
          <w:tcPr>
            <w:tcW w:w="2990" w:type="dxa"/>
            <w:shd w:val="clear" w:color="auto" w:fill="F2F6FA"/>
            <w:vAlign w:val="center"/>
          </w:tcPr>
          <w:p>
            <w:pPr>
              <w:spacing w:before="40" w:after="40"/>
            </w:pPr>
            <w:r>
              <w:rPr>
                <w:sz w:val="18"/>
                <w:szCs w:val="18"/>
              </w:rPr>
              <w:t xml:space="preserve">Processus SAL</w:t>
            </w:r>
          </w:p>
        </w:tc>
        <w:tc>
          <w:tcPr>
            <w:tcW w:w="3017" w:type="dxa"/>
            <w:shd w:val="clear" w:color="auto" w:fill="F2F6FA"/>
            <w:vAlign w:val="center"/>
          </w:tcPr>
          <w:p>
            <w:pPr>
              <w:spacing w:before="40" w:after="40"/>
            </w:pPr>
            <w:r>
              <w:rPr>
                <w:sz w:val="18"/>
                <w:szCs w:val="18"/>
              </w:rPr>
              <w:t xml:space="preserve">F-SAL-01</w:t>
            </w:r>
          </w:p>
        </w:tc>
      </w:tr>
      <w:tr>
        <w:trPr>
          <w:cantSplit/>
        </w:trPr>
        <w:tc>
          <w:tcPr>
            <w:tcW w:w="3631" w:type="dxa"/>
            <w:vAlign w:val="center"/>
          </w:tcPr>
          <w:p>
            <w:pPr>
              <w:spacing w:before="40" w:after="40"/>
            </w:pPr>
            <w:r>
              <w:rPr>
                <w:sz w:val="18"/>
                <w:szCs w:val="18"/>
              </w:rPr>
              <w:t xml:space="preserve">Non-conformités produit</w:t>
            </w:r>
          </w:p>
        </w:tc>
        <w:tc>
          <w:tcPr>
            <w:tcW w:w="2990" w:type="dxa"/>
            <w:vAlign w:val="center"/>
          </w:tcPr>
          <w:p>
            <w:pPr>
              <w:spacing w:before="40" w:after="40"/>
            </w:pPr>
            <w:r>
              <w:rPr>
                <w:sz w:val="18"/>
                <w:szCs w:val="18"/>
              </w:rPr>
              <w:t xml:space="preserve">Processus OPS</w:t>
            </w:r>
          </w:p>
        </w:tc>
        <w:tc>
          <w:tcPr>
            <w:tcW w:w="3017" w:type="dxa"/>
            <w:vAlign w:val="center"/>
          </w:tcPr>
          <w:p>
            <w:pPr>
              <w:spacing w:before="40" w:after="40"/>
            </w:pPr>
            <w:r>
              <w:rPr>
                <w:sz w:val="18"/>
                <w:szCs w:val="18"/>
              </w:rPr>
              <w:t xml:space="preserve">F-OPS-03</w:t>
            </w:r>
          </w:p>
        </w:tc>
      </w:tr>
      <w:tr>
        <w:trPr>
          <w:cantSplit/>
        </w:trPr>
        <w:tc>
          <w:tcPr>
            <w:tcW w:w="3631" w:type="dxa"/>
            <w:shd w:val="clear" w:color="auto" w:fill="F2F6FA"/>
            <w:vAlign w:val="center"/>
          </w:tcPr>
          <w:p>
            <w:pPr>
              <w:spacing w:before="40" w:after="40"/>
            </w:pPr>
            <w:r>
              <w:rPr>
                <w:sz w:val="18"/>
                <w:szCs w:val="18"/>
              </w:rPr>
              <w:t xml:space="preserve">NC fournisseurs</w:t>
            </w:r>
          </w:p>
        </w:tc>
        <w:tc>
          <w:tcPr>
            <w:tcW w:w="2990" w:type="dxa"/>
            <w:shd w:val="clear" w:color="auto" w:fill="F2F6FA"/>
            <w:vAlign w:val="center"/>
          </w:tcPr>
          <w:p>
            <w:pPr>
              <w:spacing w:before="40" w:after="40"/>
            </w:pPr>
            <w:r>
              <w:rPr>
                <w:sz w:val="18"/>
                <w:szCs w:val="18"/>
              </w:rPr>
              <w:t xml:space="preserve">Processus PUR</w:t>
            </w:r>
          </w:p>
        </w:tc>
        <w:tc>
          <w:tcPr>
            <w:tcW w:w="3017" w:type="dxa"/>
            <w:shd w:val="clear" w:color="auto" w:fill="F2F6FA"/>
            <w:vAlign w:val="center"/>
          </w:tcPr>
          <w:p>
            <w:pPr>
              <w:spacing w:before="40" w:after="40"/>
            </w:pPr>
            <w:r>
              <w:rPr>
                <w:sz w:val="18"/>
                <w:szCs w:val="18"/>
              </w:rPr>
              <w:t xml:space="preserve">F-PUR-04</w:t>
            </w:r>
          </w:p>
        </w:tc>
      </w:tr>
      <w:tr>
        <w:trPr>
          <w:cantSplit/>
        </w:trPr>
        <w:tc>
          <w:tcPr>
            <w:tcW w:w="3631" w:type="dxa"/>
            <w:vAlign w:val="center"/>
          </w:tcPr>
          <w:p>
            <w:pPr>
              <w:spacing w:before="40" w:after="40"/>
            </w:pPr>
            <w:r>
              <w:rPr>
                <w:sz w:val="18"/>
                <w:szCs w:val="18"/>
              </w:rPr>
              <w:t xml:space="preserve">Données de performance</w:t>
            </w:r>
          </w:p>
        </w:tc>
        <w:tc>
          <w:tcPr>
            <w:tcW w:w="2990" w:type="dxa"/>
            <w:vAlign w:val="center"/>
          </w:tcPr>
          <w:p>
            <w:pPr>
              <w:spacing w:before="40" w:after="40"/>
            </w:pPr>
            <w:r>
              <w:rPr>
                <w:sz w:val="18"/>
                <w:szCs w:val="18"/>
              </w:rPr>
              <w:t xml:space="preserve">Tous les processus</w:t>
            </w:r>
          </w:p>
        </w:tc>
        <w:tc>
          <w:tcPr>
            <w:tcW w:w="3017" w:type="dxa"/>
            <w:vAlign w:val="center"/>
          </w:tcPr>
          <w:p>
            <w:pPr>
              <w:spacing w:before="40" w:after="40"/>
            </w:pPr>
            <w:r>
              <w:rPr>
                <w:sz w:val="18"/>
                <w:szCs w:val="18"/>
              </w:rPr>
              <w:t xml:space="preserve">F-MGT-01</w:t>
            </w:r>
          </w:p>
        </w:tc>
      </w:tr>
      <w:tr>
        <w:trPr>
          <w:cantSplit/>
        </w:trPr>
        <w:tc>
          <w:tcPr>
            <w:tcW w:w="3631" w:type="dxa"/>
            <w:shd w:val="clear" w:color="auto" w:fill="F2F6FA"/>
            <w:vAlign w:val="center"/>
          </w:tcPr>
          <w:p>
            <w:pPr>
              <w:spacing w:before="40" w:after="40"/>
            </w:pPr>
            <w:r>
              <w:rPr>
                <w:sz w:val="18"/>
                <w:szCs w:val="18"/>
              </w:rPr>
              <w:t xml:space="preserve">Sorties de revue de direction</w:t>
            </w:r>
          </w:p>
        </w:tc>
        <w:tc>
          <w:tcPr>
            <w:tcW w:w="2990" w:type="dxa"/>
            <w:shd w:val="clear" w:color="auto" w:fill="F2F6FA"/>
            <w:vAlign w:val="center"/>
          </w:tcPr>
          <w:p>
            <w:pPr>
              <w:spacing w:before="40" w:after="40"/>
            </w:pPr>
            <w:r>
              <w:rPr>
                <w:sz w:val="18"/>
                <w:szCs w:val="18"/>
              </w:rPr>
              <w:t xml:space="preserve">Processus MGT</w:t>
            </w:r>
          </w:p>
        </w:tc>
        <w:tc>
          <w:tcPr>
            <w:tcW w:w="3017" w:type="dxa"/>
            <w:shd w:val="clear" w:color="auto" w:fill="F2F6FA"/>
            <w:vAlign w:val="center"/>
          </w:tcPr>
          <w:p>
            <w:pPr>
              <w:spacing w:before="40" w:after="40"/>
            </w:pPr>
            <w:r>
              <w:rPr>
                <w:sz w:val="18"/>
                <w:szCs w:val="18"/>
              </w:rPr>
              <w:t xml:space="preserve">F-QMS-06</w:t>
            </w:r>
          </w:p>
        </w:tc>
      </w:tr>
    </w:tbl>
    <w:p>
      <w:pPr>
        <w:spacing w:before="0" w:after="0"/>
      </w:pPr>
    </w:p>
    <w:p>
      <w:pPr>
        <w:pStyle w:val="Heading1"/>
      </w:pPr>
      <w:bookmarkStart w:id="970005" w:name="_Toc7000005"/>
      <w:r>
        <w:t xml:space="preserve">6. Données de sortie</w:t>
      </w:r>
      <w:bookmarkEnd w:id="970005"/>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3631"/>
        <w:gridCol w:w="2990"/>
        <w:gridCol w:w="3017"/>
      </w:tblGrid>
      <w:tr>
        <w:trPr>
          <w:tblHeader/>
          <w:cantSplit/>
        </w:trPr>
        <w:tc>
          <w:tcPr>
            <w:tcW w:w="3631" w:type="dxa"/>
            <w:shd w:val="clear" w:color="auto" w:fill="1F4E79"/>
            <w:vAlign w:val="center"/>
          </w:tcPr>
          <w:p>
            <w:pPr>
              <w:spacing w:before="40" w:after="40"/>
            </w:pPr>
            <w:r>
              <w:rPr>
                <w:b/>
                <w:color w:val="FFFFFF"/>
                <w:sz w:val="18"/>
                <w:szCs w:val="18"/>
              </w:rPr>
              <w:t xml:space="preserve">Donnée de sortie</w:t>
            </w:r>
          </w:p>
        </w:tc>
        <w:tc>
          <w:tcPr>
            <w:tcW w:w="2990" w:type="dxa"/>
            <w:shd w:val="clear" w:color="auto" w:fill="1F4E79"/>
            <w:vAlign w:val="center"/>
          </w:tcPr>
          <w:p>
            <w:pPr>
              <w:spacing w:before="40" w:after="40"/>
            </w:pPr>
            <w:r>
              <w:rPr>
                <w:b/>
                <w:color w:val="FFFFFF"/>
                <w:sz w:val="18"/>
                <w:szCs w:val="18"/>
              </w:rPr>
              <w:t xml:space="preserve">Destination</w:t>
            </w:r>
          </w:p>
        </w:tc>
        <w:tc>
          <w:tcPr>
            <w:tcW w:w="3017" w:type="dxa"/>
            <w:shd w:val="clear" w:color="auto" w:fill="1F4E79"/>
            <w:vAlign w:val="center"/>
          </w:tcPr>
          <w:p>
            <w:pPr>
              <w:spacing w:before="40" w:after="40"/>
            </w:pPr>
            <w:r>
              <w:rPr>
                <w:b/>
                <w:color w:val="FFFFFF"/>
                <w:sz w:val="18"/>
                <w:szCs w:val="18"/>
              </w:rPr>
              <w:t xml:space="preserve">Référence</w:t>
            </w:r>
          </w:p>
        </w:tc>
      </w:tr>
      <w:tr>
        <w:trPr>
          <w:cantSplit/>
        </w:trPr>
        <w:tc>
          <w:tcPr>
            <w:tcW w:w="3631" w:type="dxa"/>
            <w:vAlign w:val="center"/>
          </w:tcPr>
          <w:p>
            <w:pPr>
              <w:spacing w:before="40" w:after="40"/>
            </w:pPr>
            <w:r>
              <w:rPr>
                <w:sz w:val="18"/>
                <w:szCs w:val="18"/>
              </w:rPr>
              <w:t xml:space="preserve">Procédures et documents contrôlés</w:t>
            </w:r>
          </w:p>
        </w:tc>
        <w:tc>
          <w:tcPr>
            <w:tcW w:w="2990" w:type="dxa"/>
            <w:vAlign w:val="center"/>
          </w:tcPr>
          <w:p>
            <w:pPr>
              <w:spacing w:before="40" w:after="40"/>
            </w:pPr>
            <w:r>
              <w:rPr>
                <w:sz w:val="18"/>
                <w:szCs w:val="18"/>
              </w:rPr>
              <w:t xml:space="preserve">Tous les processus</w:t>
            </w:r>
          </w:p>
        </w:tc>
        <w:tc>
          <w:tcPr>
            <w:tcW w:w="3017" w:type="dxa"/>
            <w:vAlign w:val="center"/>
          </w:tcPr>
          <w:p>
            <w:pPr>
              <w:spacing w:before="40" w:after="40"/>
            </w:pPr>
            <w:r>
              <w:rPr>
                <w:sz w:val="18"/>
                <w:szCs w:val="18"/>
              </w:rPr>
              <w:t xml:space="preserve">S-QMS-01</w:t>
            </w:r>
          </w:p>
        </w:tc>
      </w:tr>
      <w:tr>
        <w:trPr>
          <w:cantSplit/>
        </w:trPr>
        <w:tc>
          <w:tcPr>
            <w:tcW w:w="3631" w:type="dxa"/>
            <w:shd w:val="clear" w:color="auto" w:fill="F2F6FA"/>
            <w:vAlign w:val="center"/>
          </w:tcPr>
          <w:p>
            <w:pPr>
              <w:spacing w:before="40" w:after="40"/>
            </w:pPr>
            <w:r>
              <w:rPr>
                <w:sz w:val="18"/>
                <w:szCs w:val="18"/>
              </w:rPr>
              <w:t xml:space="preserve">Actions correctives</w:t>
            </w:r>
          </w:p>
        </w:tc>
        <w:tc>
          <w:tcPr>
            <w:tcW w:w="2990" w:type="dxa"/>
            <w:shd w:val="clear" w:color="auto" w:fill="F2F6FA"/>
            <w:vAlign w:val="center"/>
          </w:tcPr>
          <w:p>
            <w:pPr>
              <w:spacing w:before="40" w:after="40"/>
            </w:pPr>
            <w:r>
              <w:rPr>
                <w:sz w:val="18"/>
                <w:szCs w:val="18"/>
              </w:rPr>
              <w:t xml:space="preserve">Pilotes de processus</w:t>
            </w:r>
          </w:p>
        </w:tc>
        <w:tc>
          <w:tcPr>
            <w:tcW w:w="3017" w:type="dxa"/>
            <w:shd w:val="clear" w:color="auto" w:fill="F2F6FA"/>
            <w:vAlign w:val="center"/>
          </w:tcPr>
          <w:p>
            <w:pPr>
              <w:spacing w:before="40" w:after="40"/>
            </w:pPr>
            <w:r>
              <w:rPr>
                <w:sz w:val="18"/>
                <w:szCs w:val="18"/>
              </w:rPr>
              <w:t xml:space="preserve">F-QMS-05</w:t>
            </w:r>
          </w:p>
        </w:tc>
      </w:tr>
      <w:tr>
        <w:trPr>
          <w:cantSplit/>
        </w:trPr>
        <w:tc>
          <w:tcPr>
            <w:tcW w:w="3631" w:type="dxa"/>
            <w:vAlign w:val="center"/>
          </w:tcPr>
          <w:p>
            <w:pPr>
              <w:spacing w:before="40" w:after="40"/>
            </w:pPr>
            <w:r>
              <w:rPr>
                <w:sz w:val="18"/>
                <w:szCs w:val="18"/>
              </w:rPr>
              <w:t xml:space="preserve">Rapports d’audit</w:t>
            </w:r>
          </w:p>
        </w:tc>
        <w:tc>
          <w:tcPr>
            <w:tcW w:w="2990" w:type="dxa"/>
            <w:vAlign w:val="center"/>
          </w:tcPr>
          <w:p>
            <w:pPr>
              <w:spacing w:before="40" w:after="40"/>
            </w:pPr>
            <w:r>
              <w:rPr>
                <w:sz w:val="18"/>
                <w:szCs w:val="18"/>
              </w:rPr>
              <w:t xml:space="preserve">Direction</w:t>
            </w:r>
          </w:p>
        </w:tc>
        <w:tc>
          <w:tcPr>
            <w:tcW w:w="3017" w:type="dxa"/>
            <w:vAlign w:val="center"/>
          </w:tcPr>
          <w:p>
            <w:pPr>
              <w:spacing w:before="40" w:after="40"/>
            </w:pPr>
            <w:r>
              <w:rPr>
                <w:sz w:val="18"/>
                <w:szCs w:val="18"/>
              </w:rPr>
              <w:t xml:space="preserve">F-QMS-03</w:t>
            </w:r>
          </w:p>
        </w:tc>
      </w:tr>
      <w:tr>
        <w:trPr>
          <w:cantSplit/>
        </w:trPr>
        <w:tc>
          <w:tcPr>
            <w:tcW w:w="3631" w:type="dxa"/>
            <w:shd w:val="clear" w:color="auto" w:fill="F2F6FA"/>
            <w:vAlign w:val="center"/>
          </w:tcPr>
          <w:p>
            <w:pPr>
              <w:spacing w:before="40" w:after="40"/>
            </w:pPr>
            <w:r>
              <w:rPr>
                <w:sz w:val="18"/>
                <w:szCs w:val="18"/>
              </w:rPr>
              <w:t xml:space="preserve">Registre des NC</w:t>
            </w:r>
          </w:p>
        </w:tc>
        <w:tc>
          <w:tcPr>
            <w:tcW w:w="2990" w:type="dxa"/>
            <w:shd w:val="clear" w:color="auto" w:fill="F2F6FA"/>
            <w:vAlign w:val="center"/>
          </w:tcPr>
          <w:p>
            <w:pPr>
              <w:spacing w:before="40" w:after="40"/>
            </w:pPr>
            <w:r>
              <w:rPr>
                <w:sz w:val="18"/>
                <w:szCs w:val="18"/>
              </w:rPr>
              <w:t xml:space="preserve">Direction</w:t>
            </w:r>
          </w:p>
        </w:tc>
        <w:tc>
          <w:tcPr>
            <w:tcW w:w="3017" w:type="dxa"/>
            <w:shd w:val="clear" w:color="auto" w:fill="F2F6FA"/>
            <w:vAlign w:val="center"/>
          </w:tcPr>
          <w:p>
            <w:pPr>
              <w:spacing w:before="40" w:after="40"/>
            </w:pPr>
            <w:r>
              <w:rPr>
                <w:sz w:val="18"/>
                <w:szCs w:val="18"/>
              </w:rPr>
              <w:t xml:space="preserve">S-QMS-02</w:t>
            </w:r>
          </w:p>
        </w:tc>
      </w:tr>
      <w:tr>
        <w:trPr>
          <w:cantSplit/>
        </w:trPr>
        <w:tc>
          <w:tcPr>
            <w:tcW w:w="3631" w:type="dxa"/>
            <w:vAlign w:val="center"/>
          </w:tcPr>
          <w:p>
            <w:pPr>
              <w:spacing w:before="40" w:after="40"/>
            </w:pPr>
            <w:r>
              <w:rPr>
                <w:sz w:val="18"/>
                <w:szCs w:val="18"/>
              </w:rPr>
              <w:t xml:space="preserve">Plan d’amélioration</w:t>
            </w:r>
          </w:p>
        </w:tc>
        <w:tc>
          <w:tcPr>
            <w:tcW w:w="2990" w:type="dxa"/>
            <w:vAlign w:val="center"/>
          </w:tcPr>
          <w:p>
            <w:pPr>
              <w:spacing w:before="40" w:after="40"/>
            </w:pPr>
            <w:r>
              <w:rPr>
                <w:sz w:val="18"/>
                <w:szCs w:val="18"/>
              </w:rPr>
              <w:t xml:space="preserve">Pilotes de processus</w:t>
            </w:r>
          </w:p>
        </w:tc>
        <w:tc>
          <w:tcPr>
            <w:tcW w:w="3017" w:type="dxa"/>
            <w:vAlign w:val="center"/>
          </w:tcPr>
          <w:p>
            <w:pPr>
              <w:spacing w:before="40" w:after="40"/>
            </w:pPr>
            <w:r>
              <w:rPr>
                <w:sz w:val="18"/>
                <w:szCs w:val="18"/>
              </w:rPr>
              <w:t xml:space="preserve">P-QMS-02</w:t>
            </w:r>
          </w:p>
        </w:tc>
      </w:tr>
      <w:tr>
        <w:trPr>
          <w:cantSplit/>
        </w:trPr>
        <w:tc>
          <w:tcPr>
            <w:tcW w:w="3631" w:type="dxa"/>
            <w:shd w:val="clear" w:color="auto" w:fill="F2F6FA"/>
            <w:vAlign w:val="center"/>
          </w:tcPr>
          <w:p>
            <w:pPr>
              <w:spacing w:before="40" w:after="40"/>
            </w:pPr>
            <w:r>
              <w:rPr>
                <w:sz w:val="18"/>
                <w:szCs w:val="18"/>
              </w:rPr>
              <w:t xml:space="preserve">Indicateurs de performance</w:t>
            </w:r>
          </w:p>
        </w:tc>
        <w:tc>
          <w:tcPr>
            <w:tcW w:w="2990" w:type="dxa"/>
            <w:shd w:val="clear" w:color="auto" w:fill="F2F6FA"/>
            <w:vAlign w:val="center"/>
          </w:tcPr>
          <w:p>
            <w:pPr>
              <w:spacing w:before="40" w:after="40"/>
            </w:pPr>
            <w:r>
              <w:rPr>
                <w:sz w:val="18"/>
                <w:szCs w:val="18"/>
              </w:rPr>
              <w:t xml:space="preserve">Direction</w:t>
            </w:r>
          </w:p>
        </w:tc>
        <w:tc>
          <w:tcPr>
            <w:tcW w:w="3017" w:type="dxa"/>
            <w:shd w:val="clear" w:color="auto" w:fill="F2F6FA"/>
            <w:vAlign w:val="center"/>
          </w:tcPr>
          <w:p>
            <w:pPr>
              <w:spacing w:before="40" w:after="40"/>
            </w:pPr>
            <w:r>
              <w:rPr>
                <w:sz w:val="18"/>
                <w:szCs w:val="18"/>
              </w:rPr>
              <w:t xml:space="preserve">F-MGT-01</w:t>
            </w:r>
          </w:p>
        </w:tc>
      </w:tr>
    </w:tbl>
    <w:p>
      <w:pPr>
        <w:spacing w:before="0" w:after="0"/>
      </w:pPr>
    </w:p>
    <w:p>
      <w:pPr>
        <w:pStyle w:val="Heading1"/>
      </w:pPr>
      <w:bookmarkStart w:id="970006" w:name="_Toc7000006"/>
      <w:r>
        <w:t xml:space="preserve">7. Activités clés</w:t>
      </w:r>
      <w:bookmarkEnd w:id="970006"/>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854"/>
        <w:gridCol w:w="6834"/>
        <w:gridCol w:w="1950"/>
      </w:tblGrid>
      <w:tr>
        <w:trPr>
          <w:tblHeader/>
          <w:cantSplit/>
        </w:trPr>
        <w:tc>
          <w:tcPr>
            <w:tcW w:w="854" w:type="dxa"/>
            <w:shd w:val="clear" w:color="auto" w:fill="1F4E79"/>
            <w:vAlign w:val="center"/>
          </w:tcPr>
          <w:p>
            <w:pPr>
              <w:spacing w:before="40" w:after="40"/>
            </w:pPr>
            <w:r>
              <w:rPr>
                <w:b/>
                <w:color w:val="FFFFFF"/>
                <w:sz w:val="18"/>
                <w:szCs w:val="18"/>
              </w:rPr>
              <w:t xml:space="preserve">N°</w:t>
            </w:r>
          </w:p>
        </w:tc>
        <w:tc>
          <w:tcPr>
            <w:tcW w:w="6834" w:type="dxa"/>
            <w:shd w:val="clear" w:color="auto" w:fill="1F4E79"/>
            <w:vAlign w:val="center"/>
          </w:tcPr>
          <w:p>
            <w:pPr>
              <w:spacing w:before="40" w:after="40"/>
            </w:pPr>
            <w:r>
              <w:rPr>
                <w:b/>
                <w:color w:val="FFFFFF"/>
                <w:sz w:val="18"/>
                <w:szCs w:val="18"/>
              </w:rPr>
              <w:t xml:space="preserve">Activité</w:t>
            </w:r>
          </w:p>
        </w:tc>
        <w:tc>
          <w:tcPr>
            <w:tcW w:w="1950" w:type="dxa"/>
            <w:shd w:val="clear" w:color="auto" w:fill="1F4E79"/>
            <w:vAlign w:val="center"/>
          </w:tcPr>
          <w:p>
            <w:pPr>
              <w:spacing w:before="40" w:after="40"/>
            </w:pPr>
            <w:r>
              <w:rPr>
                <w:b/>
                <w:color w:val="FFFFFF"/>
                <w:sz w:val="18"/>
                <w:szCs w:val="18"/>
              </w:rPr>
              <w:t xml:space="preserve">Clause ISO</w:t>
            </w:r>
          </w:p>
        </w:tc>
      </w:tr>
      <w:tr>
        <w:trPr>
          <w:cantSplit/>
        </w:trPr>
        <w:tc>
          <w:tcPr>
            <w:tcW w:w="854" w:type="dxa"/>
            <w:vAlign w:val="center"/>
          </w:tcPr>
          <w:p>
            <w:pPr>
              <w:spacing w:before="40" w:after="40"/>
            </w:pPr>
            <w:r>
              <w:rPr>
                <w:sz w:val="18"/>
                <w:szCs w:val="18"/>
              </w:rPr>
              <w:t xml:space="preserve">1</w:t>
            </w:r>
          </w:p>
        </w:tc>
        <w:tc>
          <w:tcPr>
            <w:tcW w:w="6834" w:type="dxa"/>
            <w:vAlign w:val="center"/>
          </w:tcPr>
          <w:p>
            <w:pPr>
              <w:spacing w:before="40" w:after="40"/>
            </w:pPr>
            <w:r>
              <w:rPr>
                <w:sz w:val="18"/>
                <w:szCs w:val="18"/>
              </w:rPr>
              <w:t xml:space="preserve">Gérer l’information documentée du SMQ</w:t>
            </w:r>
          </w:p>
        </w:tc>
        <w:tc>
          <w:tcPr>
            <w:tcW w:w="1950" w:type="dxa"/>
            <w:vAlign w:val="center"/>
          </w:tcPr>
          <w:p>
            <w:pPr>
              <w:spacing w:before="40" w:after="40"/>
            </w:pPr>
            <w:r>
              <w:rPr>
                <w:sz w:val="18"/>
                <w:szCs w:val="18"/>
              </w:rPr>
              <w:t xml:space="preserve">7.5</w:t>
            </w:r>
          </w:p>
        </w:tc>
      </w:tr>
      <w:tr>
        <w:trPr>
          <w:cantSplit/>
        </w:trPr>
        <w:tc>
          <w:tcPr>
            <w:tcW w:w="854" w:type="dxa"/>
            <w:shd w:val="clear" w:color="auto" w:fill="F2F6FA"/>
            <w:vAlign w:val="center"/>
          </w:tcPr>
          <w:p>
            <w:pPr>
              <w:spacing w:before="40" w:after="40"/>
            </w:pPr>
            <w:r>
              <w:rPr>
                <w:sz w:val="18"/>
                <w:szCs w:val="18"/>
              </w:rPr>
              <w:t xml:space="preserve">2</w:t>
            </w:r>
          </w:p>
        </w:tc>
        <w:tc>
          <w:tcPr>
            <w:tcW w:w="6834" w:type="dxa"/>
            <w:shd w:val="clear" w:color="auto" w:fill="F2F6FA"/>
            <w:vAlign w:val="center"/>
          </w:tcPr>
          <w:p>
            <w:pPr>
              <w:spacing w:before="40" w:after="40"/>
            </w:pPr>
            <w:r>
              <w:rPr>
                <w:sz w:val="18"/>
                <w:szCs w:val="18"/>
              </w:rPr>
              <w:t xml:space="preserve">Identifier et évaluer les risques et opportunités</w:t>
            </w:r>
          </w:p>
        </w:tc>
        <w:tc>
          <w:tcPr>
            <w:tcW w:w="1950" w:type="dxa"/>
            <w:shd w:val="clear" w:color="auto" w:fill="F2F6FA"/>
            <w:vAlign w:val="center"/>
          </w:tcPr>
          <w:p>
            <w:pPr>
              <w:spacing w:before="40" w:after="40"/>
            </w:pPr>
            <w:r>
              <w:rPr>
                <w:sz w:val="18"/>
                <w:szCs w:val="18"/>
              </w:rPr>
              <w:t xml:space="preserve">6.1</w:t>
            </w:r>
          </w:p>
        </w:tc>
      </w:tr>
      <w:tr>
        <w:trPr>
          <w:cantSplit/>
        </w:trPr>
        <w:tc>
          <w:tcPr>
            <w:tcW w:w="854" w:type="dxa"/>
            <w:vAlign w:val="center"/>
          </w:tcPr>
          <w:p>
            <w:pPr>
              <w:spacing w:before="40" w:after="40"/>
            </w:pPr>
            <w:r>
              <w:rPr>
                <w:sz w:val="18"/>
                <w:szCs w:val="18"/>
              </w:rPr>
              <w:t xml:space="preserve">3</w:t>
            </w:r>
          </w:p>
        </w:tc>
        <w:tc>
          <w:tcPr>
            <w:tcW w:w="6834" w:type="dxa"/>
            <w:vAlign w:val="center"/>
          </w:tcPr>
          <w:p>
            <w:pPr>
              <w:spacing w:before="40" w:after="40"/>
            </w:pPr>
            <w:r>
              <w:rPr>
                <w:sz w:val="18"/>
                <w:szCs w:val="18"/>
              </w:rPr>
              <w:t xml:space="preserve">Planifier et conduire les audits internes</w:t>
            </w:r>
          </w:p>
        </w:tc>
        <w:tc>
          <w:tcPr>
            <w:tcW w:w="1950" w:type="dxa"/>
            <w:vAlign w:val="center"/>
          </w:tcPr>
          <w:p>
            <w:pPr>
              <w:spacing w:before="40" w:after="40"/>
            </w:pPr>
            <w:r>
              <w:rPr>
                <w:sz w:val="18"/>
                <w:szCs w:val="18"/>
              </w:rPr>
              <w:t xml:space="preserve">9.2</w:t>
            </w:r>
          </w:p>
        </w:tc>
      </w:tr>
      <w:tr>
        <w:trPr>
          <w:cantSplit/>
        </w:trPr>
        <w:tc>
          <w:tcPr>
            <w:tcW w:w="854" w:type="dxa"/>
            <w:shd w:val="clear" w:color="auto" w:fill="F2F6FA"/>
            <w:vAlign w:val="center"/>
          </w:tcPr>
          <w:p>
            <w:pPr>
              <w:spacing w:before="40" w:after="40"/>
            </w:pPr>
            <w:r>
              <w:rPr>
                <w:sz w:val="18"/>
                <w:szCs w:val="18"/>
              </w:rPr>
              <w:t xml:space="preserve">4</w:t>
            </w:r>
          </w:p>
        </w:tc>
        <w:tc>
          <w:tcPr>
            <w:tcW w:w="6834" w:type="dxa"/>
            <w:shd w:val="clear" w:color="auto" w:fill="F2F6FA"/>
            <w:vAlign w:val="center"/>
          </w:tcPr>
          <w:p>
            <w:pPr>
              <w:spacing w:before="40" w:after="40"/>
            </w:pPr>
            <w:r>
              <w:rPr>
                <w:sz w:val="18"/>
                <w:szCs w:val="18"/>
              </w:rPr>
              <w:t xml:space="preserve">Détecter et enregistrer les non-conformités</w:t>
            </w:r>
          </w:p>
        </w:tc>
        <w:tc>
          <w:tcPr>
            <w:tcW w:w="1950" w:type="dxa"/>
            <w:shd w:val="clear" w:color="auto" w:fill="F2F6FA"/>
            <w:vAlign w:val="center"/>
          </w:tcPr>
          <w:p>
            <w:pPr>
              <w:spacing w:before="40" w:after="40"/>
            </w:pPr>
            <w:r>
              <w:rPr>
                <w:sz w:val="18"/>
                <w:szCs w:val="18"/>
              </w:rPr>
              <w:t xml:space="preserve">10.2</w:t>
            </w:r>
          </w:p>
        </w:tc>
      </w:tr>
      <w:tr>
        <w:trPr>
          <w:cantSplit/>
        </w:trPr>
        <w:tc>
          <w:tcPr>
            <w:tcW w:w="854" w:type="dxa"/>
            <w:vAlign w:val="center"/>
          </w:tcPr>
          <w:p>
            <w:pPr>
              <w:spacing w:before="40" w:after="40"/>
            </w:pPr>
            <w:r>
              <w:rPr>
                <w:sz w:val="18"/>
                <w:szCs w:val="18"/>
              </w:rPr>
              <w:t xml:space="preserve">5</w:t>
            </w:r>
          </w:p>
        </w:tc>
        <w:tc>
          <w:tcPr>
            <w:tcW w:w="6834" w:type="dxa"/>
            <w:vAlign w:val="center"/>
          </w:tcPr>
          <w:p>
            <w:pPr>
              <w:spacing w:before="40" w:after="40"/>
            </w:pPr>
            <w:r>
              <w:rPr>
                <w:sz w:val="18"/>
                <w:szCs w:val="18"/>
              </w:rPr>
              <w:t xml:space="preserve">Conduire les analyses de causes racines</w:t>
            </w:r>
          </w:p>
        </w:tc>
        <w:tc>
          <w:tcPr>
            <w:tcW w:w="1950" w:type="dxa"/>
            <w:vAlign w:val="center"/>
          </w:tcPr>
          <w:p>
            <w:pPr>
              <w:spacing w:before="40" w:after="40"/>
            </w:pPr>
            <w:r>
              <w:rPr>
                <w:sz w:val="18"/>
                <w:szCs w:val="18"/>
              </w:rPr>
              <w:t xml:space="preserve">10.2</w:t>
            </w:r>
          </w:p>
        </w:tc>
      </w:tr>
      <w:tr>
        <w:trPr>
          <w:cantSplit/>
        </w:trPr>
        <w:tc>
          <w:tcPr>
            <w:tcW w:w="854" w:type="dxa"/>
            <w:shd w:val="clear" w:color="auto" w:fill="F2F6FA"/>
            <w:vAlign w:val="center"/>
          </w:tcPr>
          <w:p>
            <w:pPr>
              <w:spacing w:before="40" w:after="40"/>
            </w:pPr>
            <w:r>
              <w:rPr>
                <w:sz w:val="18"/>
                <w:szCs w:val="18"/>
              </w:rPr>
              <w:t xml:space="preserve">6</w:t>
            </w:r>
          </w:p>
        </w:tc>
        <w:tc>
          <w:tcPr>
            <w:tcW w:w="6834" w:type="dxa"/>
            <w:shd w:val="clear" w:color="auto" w:fill="F2F6FA"/>
            <w:vAlign w:val="center"/>
          </w:tcPr>
          <w:p>
            <w:pPr>
              <w:spacing w:before="40" w:after="40"/>
            </w:pPr>
            <w:r>
              <w:rPr>
                <w:sz w:val="18"/>
                <w:szCs w:val="18"/>
              </w:rPr>
              <w:t xml:space="preserve">Mettre en œuvre et vérifier les actions correctives</w:t>
            </w:r>
          </w:p>
        </w:tc>
        <w:tc>
          <w:tcPr>
            <w:tcW w:w="1950" w:type="dxa"/>
            <w:shd w:val="clear" w:color="auto" w:fill="F2F6FA"/>
            <w:vAlign w:val="center"/>
          </w:tcPr>
          <w:p>
            <w:pPr>
              <w:spacing w:before="40" w:after="40"/>
            </w:pPr>
            <w:r>
              <w:rPr>
                <w:sz w:val="18"/>
                <w:szCs w:val="18"/>
              </w:rPr>
              <w:t xml:space="preserve">10.2</w:t>
            </w:r>
          </w:p>
        </w:tc>
      </w:tr>
      <w:tr>
        <w:trPr>
          <w:cantSplit/>
        </w:trPr>
        <w:tc>
          <w:tcPr>
            <w:tcW w:w="854" w:type="dxa"/>
            <w:vAlign w:val="center"/>
          </w:tcPr>
          <w:p>
            <w:pPr>
              <w:spacing w:before="40" w:after="40"/>
            </w:pPr>
            <w:r>
              <w:rPr>
                <w:sz w:val="18"/>
                <w:szCs w:val="18"/>
              </w:rPr>
              <w:t xml:space="preserve">7</w:t>
            </w:r>
          </w:p>
        </w:tc>
        <w:tc>
          <w:tcPr>
            <w:tcW w:w="6834" w:type="dxa"/>
            <w:vAlign w:val="center"/>
          </w:tcPr>
          <w:p>
            <w:pPr>
              <w:spacing w:before="40" w:after="40"/>
            </w:pPr>
            <w:r>
              <w:rPr>
                <w:sz w:val="18"/>
                <w:szCs w:val="18"/>
              </w:rPr>
              <w:t xml:space="preserve">Surveiller et analyser les indicateurs de performance</w:t>
            </w:r>
          </w:p>
        </w:tc>
        <w:tc>
          <w:tcPr>
            <w:tcW w:w="1950" w:type="dxa"/>
            <w:vAlign w:val="center"/>
          </w:tcPr>
          <w:p>
            <w:pPr>
              <w:spacing w:before="40" w:after="40"/>
            </w:pPr>
            <w:r>
              <w:rPr>
                <w:sz w:val="18"/>
                <w:szCs w:val="18"/>
              </w:rPr>
              <w:t xml:space="preserve">9.1</w:t>
            </w:r>
          </w:p>
        </w:tc>
      </w:tr>
      <w:tr>
        <w:trPr>
          <w:cantSplit/>
        </w:trPr>
        <w:tc>
          <w:tcPr>
            <w:tcW w:w="854" w:type="dxa"/>
            <w:shd w:val="clear" w:color="auto" w:fill="F2F6FA"/>
            <w:vAlign w:val="center"/>
          </w:tcPr>
          <w:p>
            <w:pPr>
              <w:spacing w:before="40" w:after="40"/>
            </w:pPr>
            <w:r>
              <w:rPr>
                <w:sz w:val="18"/>
                <w:szCs w:val="18"/>
              </w:rPr>
              <w:t xml:space="preserve">8</w:t>
            </w:r>
          </w:p>
        </w:tc>
        <w:tc>
          <w:tcPr>
            <w:tcW w:w="6834" w:type="dxa"/>
            <w:shd w:val="clear" w:color="auto" w:fill="F2F6FA"/>
            <w:vAlign w:val="center"/>
          </w:tcPr>
          <w:p>
            <w:pPr>
              <w:spacing w:before="40" w:after="40"/>
            </w:pPr>
            <w:r>
              <w:rPr>
                <w:sz w:val="18"/>
                <w:szCs w:val="18"/>
              </w:rPr>
              <w:t xml:space="preserve">Identifier les opportunités d’amélioration</w:t>
            </w:r>
          </w:p>
        </w:tc>
        <w:tc>
          <w:tcPr>
            <w:tcW w:w="1950" w:type="dxa"/>
            <w:shd w:val="clear" w:color="auto" w:fill="F2F6FA"/>
            <w:vAlign w:val="center"/>
          </w:tcPr>
          <w:p>
            <w:pPr>
              <w:spacing w:before="40" w:after="40"/>
            </w:pPr>
            <w:r>
              <w:rPr>
                <w:sz w:val="18"/>
                <w:szCs w:val="18"/>
              </w:rPr>
              <w:t xml:space="preserve">10.1</w:t>
            </w:r>
          </w:p>
        </w:tc>
      </w:tr>
      <w:tr>
        <w:trPr>
          <w:cantSplit/>
        </w:trPr>
        <w:tc>
          <w:tcPr>
            <w:tcW w:w="854" w:type="dxa"/>
            <w:vAlign w:val="center"/>
          </w:tcPr>
          <w:p>
            <w:pPr>
              <w:spacing w:before="40" w:after="40"/>
            </w:pPr>
            <w:r>
              <w:rPr>
                <w:sz w:val="18"/>
                <w:szCs w:val="18"/>
              </w:rPr>
              <w:t xml:space="preserve">9</w:t>
            </w:r>
          </w:p>
        </w:tc>
        <w:tc>
          <w:tcPr>
            <w:tcW w:w="6834" w:type="dxa"/>
            <w:vAlign w:val="center"/>
          </w:tcPr>
          <w:p>
            <w:pPr>
              <w:spacing w:before="40" w:after="40"/>
            </w:pPr>
            <w:r>
              <w:rPr>
                <w:sz w:val="18"/>
                <w:szCs w:val="18"/>
              </w:rPr>
              <w:t xml:space="preserve">Mettre à jour le plan d’actions global</w:t>
            </w:r>
          </w:p>
        </w:tc>
        <w:tc>
          <w:tcPr>
            <w:tcW w:w="1950" w:type="dxa"/>
            <w:vAlign w:val="center"/>
          </w:tcPr>
          <w:p>
            <w:pPr>
              <w:spacing w:before="40" w:after="40"/>
            </w:pPr>
            <w:r>
              <w:rPr>
                <w:sz w:val="18"/>
                <w:szCs w:val="18"/>
              </w:rPr>
              <w:t xml:space="preserve">10.3</w:t>
            </w:r>
          </w:p>
        </w:tc>
      </w:tr>
      <w:tr>
        <w:trPr>
          <w:cantSplit/>
        </w:trPr>
        <w:tc>
          <w:tcPr>
            <w:tcW w:w="854" w:type="dxa"/>
            <w:shd w:val="clear" w:color="auto" w:fill="F2F6FA"/>
            <w:vAlign w:val="center"/>
          </w:tcPr>
          <w:p>
            <w:pPr>
              <w:spacing w:before="40" w:after="40"/>
            </w:pPr>
            <w:r>
              <w:rPr>
                <w:sz w:val="18"/>
                <w:szCs w:val="18"/>
              </w:rPr>
              <w:t xml:space="preserve">10</w:t>
            </w:r>
          </w:p>
        </w:tc>
        <w:tc>
          <w:tcPr>
            <w:tcW w:w="6834" w:type="dxa"/>
            <w:shd w:val="clear" w:color="auto" w:fill="F2F6FA"/>
            <w:vAlign w:val="center"/>
          </w:tcPr>
          <w:p>
            <w:pPr>
              <w:spacing w:before="40" w:after="40"/>
            </w:pPr>
            <w:r>
              <w:rPr>
                <w:sz w:val="18"/>
                <w:szCs w:val="18"/>
              </w:rPr>
              <w:t xml:space="preserve">Préparer les données d’entrée de la revue de direction</w:t>
            </w:r>
          </w:p>
        </w:tc>
        <w:tc>
          <w:tcPr>
            <w:tcW w:w="1950" w:type="dxa"/>
            <w:shd w:val="clear" w:color="auto" w:fill="F2F6FA"/>
            <w:vAlign w:val="center"/>
          </w:tcPr>
          <w:p>
            <w:pPr>
              <w:spacing w:before="40" w:after="40"/>
            </w:pPr>
            <w:r>
              <w:rPr>
                <w:sz w:val="18"/>
                <w:szCs w:val="18"/>
              </w:rPr>
              <w:t xml:space="preserve">9.3</w:t>
            </w:r>
          </w:p>
        </w:tc>
      </w:tr>
    </w:tbl>
    <w:p>
      <w:pPr>
        <w:spacing w:before="0" w:after="0"/>
      </w:pPr>
    </w:p>
    <w:p>
      <w:pPr>
        <w:pStyle w:val="Heading1"/>
      </w:pPr>
      <w:bookmarkStart w:id="970007" w:name="_Toc7000007"/>
      <w:r>
        <w:t xml:space="preserve">8. Logigramme du processus</w:t>
      </w:r>
      <w:bookmarkEnd w:id="970007"/>
    </w:p>
    <w:p>
      <w:r>
        <w:t xml:space="preserve">Le logigramme ci-dessous présente l'enchaînement des étapes clés du processus, depuis ses données d'entrée jusqu'à ses livrables. Il identifie les points de décision, les boucles d'amélioration et les liens avec les autres processus du SMQ.</w:t>
      </w:r>
    </w:p>
    <w:p>
      <w:pPr>
        <w:jc w:val="center"/>
        <w:spacing w:before="120" w:after="60"/>
      </w:pPr>
      <w:r>
        <w:drawing>
          <wp:inline distT="0" distB="0" distL="0" distR="0">
            <wp:extent cx="6120130" cy="5655643"/>
            <wp:effectExtent l="0" t="0" r="0" b="0"/>
            <wp:docPr id="1" name="Logigramme"/>
            <a:graphic>
              <a:graphicData uri="http://schemas.microsoft.com/office/word/2010/wordprocessingGroup">
                <wpg:wgp>
                  <wpg:cNvGrpSpPr/>
                  <wpg:grpSpPr>
                    <a:xfrm>
                      <a:off x="0" y="0"/>
                      <a:ext cx="6120130" cy="5655643"/>
                      <a:chOff x="0" y="0"/>
                      <a:chExt cx="7239000" cy="6689597"/>
                    </a:xfrm>
                  </wpg:grpSpPr>
                  <wps:wsp>
                    <wps:cNvPr id="2" name="titre"/>
                    <wps:cNvSpPr/>
                    <wps:spPr>
                      <a:xfrm>
                        <a:off x="0" y="0"/>
                        <a:ext cx="7239000" cy="247650"/>
                      </a:xfrm>
                      <a:prstGeom prst="rect">
                        <a:avLst/>
                      </a:prstGeom>
                      <a:noFill/>
                    </wps:spPr>
                    <wps:txbx>
                      <w:txbxContent>
                        <w:p>
                          <w:pPr>
                            <w:jc w:val="center"/>
                            <w:spacing w:before="0" w:after="0" w:line="240" w:lineRule="auto"/>
                          </w:pPr>
                          <w:r>
                            <w:rPr>
                              <w:rFonts w:ascii="Arial" w:hAnsi="Arial" w:cs="Arial"/>
                              <w:b/>
                              <w:color w:val="1F4E79"/>
                              <w:sz w:val="20"/>
                              <w:szCs w:val="20"/>
                            </w:rPr>
                            <w:t xml:space="preserve">Logigramme - Processus QMS : Qualité et Amélioration Continue</w:t>
                          </w:r>
                        </w:p>
                      </w:txbxContent>
                    </wps:txbx>
                    <wps:bodyPr rot="0" anchor="ctr" lIns="45720" tIns="0" rIns="45720" bIns="0" anchorCtr="0">
                      <a:noAutofit/>
                    </wps:bodyPr>
                  </wps:wsp>
                  <wps:wsp>
                    <wps:cNvPr id="3" name="lien3"/>
                    <wps:cNvSpPr/>
                    <wps:spPr>
                      <a:xfrm>
                        <a:off x="3333750" y="990600"/>
                        <a:ext cx="1" cy="381000"/>
                      </a:xfrm>
                      <a:prstGeom prst="line">
                        <a:avLst/>
                      </a:prstGeom>
                      <a:ln w="12700" cap="flat">
                        <a:solidFill>
                          <a:srgbClr val="3A3A3A"/>
                        </a:solidFill>
                        <a:round/>
                        <a:tailEnd type="triangle" w="med" len="med"/>
                      </a:ln>
                    </wps:spPr>
                    <wps:bodyPr/>
                  </wps:wsp>
                  <wps:wsp>
                    <wps:cNvPr id="4" name="lien4"/>
                    <wps:cNvSpPr/>
                    <wps:spPr>
                      <a:xfrm>
                        <a:off x="3333750" y="2038350"/>
                        <a:ext cx="1" cy="381000"/>
                      </a:xfrm>
                      <a:prstGeom prst="line">
                        <a:avLst/>
                      </a:prstGeom>
                      <a:ln w="12700" cap="flat">
                        <a:solidFill>
                          <a:srgbClr val="3A3A3A"/>
                        </a:solidFill>
                        <a:round/>
                        <a:tailEnd type="triangle" w="med" len="med"/>
                      </a:ln>
                    </wps:spPr>
                    <wps:bodyPr/>
                  </wps:wsp>
                  <wps:wsp>
                    <wps:cNvPr id="5" name="lien5"/>
                    <wps:cNvSpPr/>
                    <wps:spPr>
                      <a:xfrm>
                        <a:off x="3333750" y="3276600"/>
                        <a:ext cx="1" cy="381000"/>
                      </a:xfrm>
                      <a:prstGeom prst="line">
                        <a:avLst/>
                      </a:prstGeom>
                      <a:ln w="12700" cap="flat">
                        <a:solidFill>
                          <a:srgbClr val="3A3A3A"/>
                        </a:solidFill>
                        <a:round/>
                        <a:tailEnd type="triangle" w="med" len="med"/>
                      </a:ln>
                    </wps:spPr>
                    <wps:bodyPr/>
                  </wps:wsp>
                  <wps:wsp>
                    <wps:cNvPr id="6" name="lien6"/>
                    <wps:cNvSpPr/>
                    <wps:spPr>
                      <a:xfrm>
                        <a:off x="3333750" y="4594098"/>
                        <a:ext cx="1" cy="380999"/>
                      </a:xfrm>
                      <a:prstGeom prst="line">
                        <a:avLst/>
                      </a:prstGeom>
                      <a:ln w="12700" cap="flat">
                        <a:solidFill>
                          <a:srgbClr val="3A3A3A"/>
                        </a:solidFill>
                        <a:round/>
                        <a:tailEnd type="triangle" w="med" len="med"/>
                      </a:ln>
                    </wps:spPr>
                    <wps:bodyPr/>
                  </wps:wsp>
                  <wps:wsp>
                    <wps:cNvPr id="7" name="etiquette7"/>
                    <wps:cNvSpPr/>
                    <wps:spPr>
                      <a:xfrm>
                        <a:off x="3200420" y="4611243"/>
                        <a:ext cx="266700" cy="133350"/>
                      </a:xfrm>
                      <a:prstGeom prst="rect">
                        <a:avLst/>
                      </a:prstGeom>
                      <a:noFill/>
                    </wps:spPr>
                    <wps:txbx>
                      <w:txbxContent>
                        <w:p>
                          <w:pPr>
                            <w:jc w:val="center"/>
                            <w:spacing w:before="0" w:after="0" w:line="240" w:lineRule="auto"/>
                          </w:pPr>
                          <w:r>
                            <w:rPr>
                              <w:rFonts w:ascii="Arial" w:hAnsi="Arial" w:cs="Arial"/>
                              <w:color w:val="3A3A3A"/>
                              <w:sz w:val="15"/>
                              <w:szCs w:val="15"/>
                            </w:rPr>
                            <w:t xml:space="preserve">Oui</w:t>
                          </w:r>
                        </w:p>
                      </w:txbxContent>
                    </wps:txbx>
                    <wps:bodyPr rot="0" anchor="ctr" lIns="0" tIns="0" rIns="0" bIns="0" anchorCtr="0">
                      <a:noAutofit/>
                    </wps:bodyPr>
                  </wps:wsp>
                  <wps:wsp>
                    <wps:cNvPr id="8" name="lien8"/>
                    <wps:cNvSpPr/>
                    <wps:spPr>
                      <a:xfrm>
                        <a:off x="3333750" y="4594098"/>
                        <a:ext cx="1" cy="1428749"/>
                      </a:xfrm>
                      <a:prstGeom prst="line">
                        <a:avLst/>
                      </a:prstGeom>
                      <a:ln w="12700" cap="flat">
                        <a:solidFill>
                          <a:srgbClr val="3A3A3A"/>
                        </a:solidFill>
                        <a:round/>
                        <a:tailEnd type="triangle" w="med" len="med"/>
                      </a:ln>
                    </wps:spPr>
                    <wps:bodyPr/>
                  </wps:wsp>
                  <wps:wsp>
                    <wps:cNvPr id="9" name="etiquette9"/>
                    <wps:cNvSpPr/>
                    <wps:spPr>
                      <a:xfrm>
                        <a:off x="3200420" y="4841748"/>
                        <a:ext cx="266700" cy="133350"/>
                      </a:xfrm>
                      <a:prstGeom prst="rect">
                        <a:avLst/>
                      </a:prstGeom>
                      <a:noFill/>
                    </wps:spPr>
                    <wps:txbx>
                      <w:txbxContent>
                        <w:p>
                          <w:pPr>
                            <w:jc w:val="center"/>
                            <w:spacing w:before="0" w:after="0" w:line="240" w:lineRule="auto"/>
                          </w:pPr>
                          <w:r>
                            <w:rPr>
                              <w:rFonts w:ascii="Arial" w:hAnsi="Arial" w:cs="Arial"/>
                              <w:color w:val="3A3A3A"/>
                              <w:sz w:val="15"/>
                              <w:szCs w:val="15"/>
                            </w:rPr>
                            <w:t xml:space="preserve">Non</w:t>
                          </w:r>
                        </w:p>
                      </w:txbxContent>
                    </wps:txbx>
                    <wps:bodyPr rot="0" anchor="ctr" lIns="0" tIns="0" rIns="0" bIns="0" anchorCtr="0">
                      <a:noAutofit/>
                    </wps:bodyPr>
                  </wps:wsp>
                  <wps:wsp>
                    <wps:cNvPr id="10" name="lien10"/>
                    <wps:cNvSpPr/>
                    <wps:spPr>
                      <a:xfrm>
                        <a:off x="3333750" y="5641847"/>
                        <a:ext cx="1" cy="381000"/>
                      </a:xfrm>
                      <a:prstGeom prst="line">
                        <a:avLst/>
                      </a:prstGeom>
                      <a:ln w="12700" cap="flat">
                        <a:solidFill>
                          <a:srgbClr val="3A3A3A"/>
                        </a:solidFill>
                        <a:round/>
                        <a:tailEnd type="triangle" w="med" len="med"/>
                      </a:ln>
                    </wps:spPr>
                    <wps:bodyPr/>
                  </wps:wsp>
                  <wps:wsp>
                    <wps:cNvPr id="11" name="lien11"/>
                    <wps:cNvSpPr/>
                    <wps:spPr>
                      <a:xfrm>
                        <a:off x="4286250" y="6356222"/>
                        <a:ext cx="523875" cy="1"/>
                      </a:xfrm>
                      <a:prstGeom prst="line">
                        <a:avLst/>
                      </a:prstGeom>
                      <a:ln w="12700" cap="flat">
                        <a:solidFill>
                          <a:srgbClr val="3A3A3A"/>
                        </a:solidFill>
                        <a:round/>
                      </a:ln>
                    </wps:spPr>
                    <wps:bodyPr/>
                  </wps:wsp>
                  <wps:wsp>
                    <wps:cNvPr id="12" name="lien12"/>
                    <wps:cNvSpPr/>
                    <wps:spPr>
                      <a:xfrm flipV="1">
                        <a:off x="4810125" y="657225"/>
                        <a:ext cx="1" cy="5698997"/>
                      </a:xfrm>
                      <a:prstGeom prst="line">
                        <a:avLst/>
                      </a:prstGeom>
                      <a:ln w="12700" cap="flat">
                        <a:solidFill>
                          <a:srgbClr val="3A3A3A"/>
                        </a:solidFill>
                        <a:round/>
                      </a:ln>
                    </wps:spPr>
                    <wps:bodyPr/>
                  </wps:wsp>
                  <wps:wsp>
                    <wps:cNvPr id="13" name="lien13"/>
                    <wps:cNvSpPr/>
                    <wps:spPr>
                      <a:xfrm>
                        <a:off x="4810125" y="657225"/>
                        <a:ext cx="523875" cy="1"/>
                      </a:xfrm>
                      <a:prstGeom prst="line">
                        <a:avLst/>
                      </a:prstGeom>
                      <a:ln w="12700" cap="flat">
                        <a:solidFill>
                          <a:srgbClr val="3A3A3A"/>
                        </a:solidFill>
                        <a:round/>
                        <a:tailEnd type="triangle" w="med" len="med"/>
                      </a:ln>
                    </wps:spPr>
                    <wps:bodyPr/>
                  </wps:wsp>
                  <wps:wsp>
                    <wps:cNvPr id="14" name="lien14"/>
                    <wps:cNvSpPr/>
                    <wps:spPr>
                      <a:xfrm>
                        <a:off x="6286500" y="990600"/>
                        <a:ext cx="1" cy="381000"/>
                      </a:xfrm>
                      <a:prstGeom prst="line">
                        <a:avLst/>
                      </a:prstGeom>
                      <a:ln w="12700" cap="flat">
                        <a:solidFill>
                          <a:srgbClr val="3A3A3A"/>
                        </a:solidFill>
                        <a:round/>
                        <a:tailEnd type="triangle" w="med" len="med"/>
                      </a:ln>
                    </wps:spPr>
                    <wps:bodyPr/>
                  </wps:wsp>
                  <wps:wsp>
                    <wps:cNvPr id="15" name="lien15"/>
                    <wps:cNvSpPr/>
                    <wps:spPr>
                      <a:xfrm>
                        <a:off x="6286500" y="2038350"/>
                        <a:ext cx="1" cy="381000"/>
                      </a:xfrm>
                      <a:prstGeom prst="line">
                        <a:avLst/>
                      </a:prstGeom>
                      <a:ln w="12700" cap="flat">
                        <a:solidFill>
                          <a:srgbClr val="3A3A3A"/>
                        </a:solidFill>
                        <a:round/>
                        <a:tailEnd type="triangle" w="med" len="med"/>
                      </a:ln>
                    </wps:spPr>
                    <wps:bodyPr/>
                  </wps:wsp>
                  <wps:wsp>
                    <wps:cNvPr id="16" name="lien16"/>
                    <wps:cNvSpPr/>
                    <wps:spPr>
                      <a:xfrm>
                        <a:off x="6286500" y="3276600"/>
                        <a:ext cx="1" cy="381000"/>
                      </a:xfrm>
                      <a:prstGeom prst="line">
                        <a:avLst/>
                      </a:prstGeom>
                      <a:ln w="12700" cap="flat">
                        <a:solidFill>
                          <a:srgbClr val="3A3A3A"/>
                        </a:solidFill>
                        <a:round/>
                        <a:tailEnd type="triangle" w="med" len="med"/>
                      </a:ln>
                    </wps:spPr>
                    <wps:bodyPr/>
                  </wps:wsp>
                  <wps:wsp>
                    <wps:cNvPr id="17" name="etiquette17"/>
                    <wps:cNvSpPr/>
                    <wps:spPr>
                      <a:xfrm>
                        <a:off x="6153170" y="3293745"/>
                        <a:ext cx="266700" cy="133350"/>
                      </a:xfrm>
                      <a:prstGeom prst="rect">
                        <a:avLst/>
                      </a:prstGeom>
                      <a:noFill/>
                    </wps:spPr>
                    <wps:txbx>
                      <w:txbxContent>
                        <w:p>
                          <w:pPr>
                            <w:jc w:val="center"/>
                            <w:spacing w:before="0" w:after="0" w:line="240" w:lineRule="auto"/>
                          </w:pPr>
                          <w:r>
                            <w:rPr>
                              <w:rFonts w:ascii="Arial" w:hAnsi="Arial" w:cs="Arial"/>
                              <w:color w:val="3A3A3A"/>
                              <w:sz w:val="15"/>
                              <w:szCs w:val="15"/>
                            </w:rPr>
                            <w:t xml:space="preserve">Oui</w:t>
                          </w:r>
                        </w:p>
                      </w:txbxContent>
                    </wps:txbx>
                    <wps:bodyPr rot="0" anchor="ctr" lIns="0" tIns="0" rIns="0" bIns="0" anchorCtr="0">
                      <a:noAutofit/>
                    </wps:bodyPr>
                  </wps:wsp>
                  <wps:wsp>
                    <wps:cNvPr id="18" name="lien18"/>
                    <wps:cNvSpPr/>
                    <wps:spPr>
                      <a:xfrm>
                        <a:off x="6286500" y="3276600"/>
                        <a:ext cx="1" cy="1698497"/>
                      </a:xfrm>
                      <a:prstGeom prst="line">
                        <a:avLst/>
                      </a:prstGeom>
                      <a:ln w="12700" cap="flat">
                        <a:solidFill>
                          <a:srgbClr val="3A3A3A"/>
                        </a:solidFill>
                        <a:round/>
                        <a:tailEnd type="triangle" w="med" len="med"/>
                      </a:ln>
                    </wps:spPr>
                    <wps:bodyPr/>
                  </wps:wsp>
                  <wps:wsp>
                    <wps:cNvPr id="19" name="etiquette19"/>
                    <wps:cNvSpPr/>
                    <wps:spPr>
                      <a:xfrm>
                        <a:off x="6153170" y="3583594"/>
                        <a:ext cx="266700" cy="133350"/>
                      </a:xfrm>
                      <a:prstGeom prst="rect">
                        <a:avLst/>
                      </a:prstGeom>
                      <a:noFill/>
                    </wps:spPr>
                    <wps:txbx>
                      <w:txbxContent>
                        <w:p>
                          <w:pPr>
                            <w:jc w:val="center"/>
                            <w:spacing w:before="0" w:after="0" w:line="240" w:lineRule="auto"/>
                          </w:pPr>
                          <w:r>
                            <w:rPr>
                              <w:rFonts w:ascii="Arial" w:hAnsi="Arial" w:cs="Arial"/>
                              <w:color w:val="3A3A3A"/>
                              <w:sz w:val="15"/>
                              <w:szCs w:val="15"/>
                            </w:rPr>
                            <w:t xml:space="preserve">Non</w:t>
                          </w:r>
                        </w:p>
                      </w:txbxContent>
                    </wps:txbx>
                    <wps:bodyPr rot="0" anchor="ctr" lIns="0" tIns="0" rIns="0" bIns="0" anchorCtr="0">
                      <a:noAutofit/>
                    </wps:bodyPr>
                  </wps:wsp>
                  <wps:wsp>
                    <wps:cNvPr id="20" name="lien20"/>
                    <wps:cNvSpPr/>
                    <wps:spPr>
                      <a:xfrm>
                        <a:off x="6286500" y="4594098"/>
                        <a:ext cx="1" cy="1428749"/>
                      </a:xfrm>
                      <a:prstGeom prst="line">
                        <a:avLst/>
                      </a:prstGeom>
                      <a:ln w="12700" cap="flat">
                        <a:solidFill>
                          <a:srgbClr val="3A3A3A"/>
                        </a:solidFill>
                        <a:round/>
                        <a:tailEnd type="triangle" w="med" len="med"/>
                      </a:ln>
                    </wps:spPr>
                    <wps:bodyPr/>
                  </wps:wsp>
                  <wps:wsp>
                    <wps:cNvPr id="21" name="lien21"/>
                    <wps:cNvSpPr/>
                    <wps:spPr>
                      <a:xfrm flipH="1">
                        <a:off x="4810125" y="5308472"/>
                        <a:ext cx="523875" cy="1"/>
                      </a:xfrm>
                      <a:prstGeom prst="line">
                        <a:avLst/>
                      </a:prstGeom>
                      <a:ln w="12700" cap="flat">
                        <a:solidFill>
                          <a:srgbClr val="3A3A3A"/>
                        </a:solidFill>
                        <a:round/>
                      </a:ln>
                    </wps:spPr>
                    <wps:bodyPr/>
                  </wps:wsp>
                  <wps:wsp>
                    <wps:cNvPr id="22" name="lien22"/>
                    <wps:cNvSpPr/>
                    <wps:spPr>
                      <a:xfrm flipV="1">
                        <a:off x="4810125" y="2847975"/>
                        <a:ext cx="1" cy="2460497"/>
                      </a:xfrm>
                      <a:prstGeom prst="line">
                        <a:avLst/>
                      </a:prstGeom>
                      <a:ln w="12700" cap="flat">
                        <a:solidFill>
                          <a:srgbClr val="3A3A3A"/>
                        </a:solidFill>
                        <a:round/>
                      </a:ln>
                    </wps:spPr>
                    <wps:bodyPr/>
                  </wps:wsp>
                  <wps:wsp>
                    <wps:cNvPr id="23" name="lien23"/>
                    <wps:cNvSpPr/>
                    <wps:spPr>
                      <a:xfrm flipH="1">
                        <a:off x="4286250" y="2847975"/>
                        <a:ext cx="523875" cy="1"/>
                      </a:xfrm>
                      <a:prstGeom prst="line">
                        <a:avLst/>
                      </a:prstGeom>
                      <a:ln w="12700" cap="flat">
                        <a:solidFill>
                          <a:srgbClr val="3A3A3A"/>
                        </a:solidFill>
                        <a:round/>
                        <a:tailEnd type="triangle" w="med" len="med"/>
                      </a:ln>
                    </wps:spPr>
                    <wps:bodyPr/>
                  </wps:wsp>
                  <wps:wsp>
                    <wps:cNvPr id="24" name="etiquette24"/>
                    <wps:cNvSpPr/>
                    <wps:spPr>
                      <a:xfrm>
                        <a:off x="5018722" y="5241786"/>
                        <a:ext cx="400050" cy="133350"/>
                      </a:xfrm>
                      <a:prstGeom prst="rect">
                        <a:avLst/>
                      </a:prstGeom>
                      <a:noFill/>
                    </wps:spPr>
                    <wps:txbx>
                      <w:txbxContent>
                        <w:p>
                          <w:pPr>
                            <w:jc w:val="center"/>
                            <w:spacing w:before="0" w:after="0" w:line="240" w:lineRule="auto"/>
                          </w:pPr>
                          <w:r>
                            <w:rPr>
                              <w:rFonts w:ascii="Arial" w:hAnsi="Arial" w:cs="Arial"/>
                              <w:color w:val="3A3A3A"/>
                              <w:sz w:val="15"/>
                              <w:szCs w:val="15"/>
                            </w:rPr>
                            <w:t xml:space="preserve">Retour</w:t>
                          </w:r>
                        </w:p>
                      </w:txbxContent>
                    </wps:txbx>
                    <wps:bodyPr rot="0" anchor="ctr" lIns="0" tIns="0" rIns="0" bIns="0" anchorCtr="0">
                      <a:noAutofit/>
                    </wps:bodyPr>
                  </wps:wsp>
                  <wps:wsp>
                    <wps:cNvPr id="25" name="etape25"/>
                    <wps:cNvSpPr/>
                    <wps:spPr>
                      <a:xfrm>
                        <a:off x="2571750" y="323850"/>
                        <a:ext cx="1524000" cy="666750"/>
                      </a:xfrm>
                      <a:prstGeom prst="flowChartTerminator">
                        <a:avLst/>
                      </a:prstGeom>
                      <a:solidFill>
                        <a:srgbClr val="C5E0B4"/>
                      </a:solidFill>
                      <a:ln w="12700" cap="flat">
                        <a:solidFill>
                          <a:srgbClr val="548235"/>
                        </a:solidFill>
                        <a:round/>
                      </a:ln>
                    </wps:spPr>
                    <wps:txbx>
                      <w:txbxContent>
                        <w:p>
                          <w:pPr>
                            <w:jc w:val="center"/>
                            <w:spacing w:before="0" w:after="0" w:line="240" w:lineRule="auto"/>
                          </w:pPr>
                          <w:r>
                            <w:rPr>
                              <w:rFonts w:ascii="Arial" w:hAnsi="Arial" w:cs="Arial"/>
                              <w:color w:val="14181F"/>
                              <w:sz w:val="18"/>
                              <w:szCs w:val="18"/>
                            </w:rPr>
                            <w:t xml:space="preserve">Détection d'écart</w:t>
                          </w:r>
                        </w:p>
                      </w:txbxContent>
                    </wps:txbx>
                    <wps:bodyPr rot="0" anchor="ctr" lIns="45720" tIns="0" rIns="45720" bIns="0" anchorCtr="0">
                      <a:noAutofit/>
                    </wps:bodyPr>
                  </wps:wsp>
                  <wps:wsp>
                    <wps:cNvPr id="26" name="etape26"/>
                    <wps:cNvSpPr/>
                    <wps:spPr>
                      <a:xfrm>
                        <a:off x="2381250" y="1371600"/>
                        <a:ext cx="1905000" cy="666750"/>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Enregistrer la non-conformité (F-QMS-04)</w:t>
                          </w:r>
                        </w:p>
                      </w:txbxContent>
                    </wps:txbx>
                    <wps:bodyPr rot="0" anchor="ctr" lIns="45720" tIns="0" rIns="45720" bIns="0" anchorCtr="0">
                      <a:noAutofit/>
                    </wps:bodyPr>
                  </wps:wsp>
                  <wps:wsp>
                    <wps:cNvPr id="27" name="etape27"/>
                    <wps:cNvSpPr/>
                    <wps:spPr>
                      <a:xfrm>
                        <a:off x="2381250" y="2419350"/>
                        <a:ext cx="1905000" cy="857250"/>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Analyser la cause racine (5 Pourquoi, Ishikawa)</w:t>
                          </w:r>
                        </w:p>
                      </w:txbxContent>
                    </wps:txbx>
                    <wps:bodyPr rot="0" anchor="ctr" lIns="45720" tIns="0" rIns="45720" bIns="0" anchorCtr="0">
                      <a:noAutofit/>
                    </wps:bodyPr>
                  </wps:wsp>
                  <wps:wsp>
                    <wps:cNvPr id="28" name="etape28"/>
                    <wps:cNvSpPr/>
                    <wps:spPr>
                      <a:xfrm>
                        <a:off x="2381250" y="3657600"/>
                        <a:ext cx="1905000" cy="936498"/>
                      </a:xfrm>
                      <a:prstGeom prst="flowChartDecision">
                        <a:avLst/>
                      </a:prstGeom>
                      <a:solidFill>
                        <a:srgbClr val="FCE4EC"/>
                      </a:solidFill>
                      <a:ln w="12700" cap="flat">
                        <a:solidFill>
                          <a:srgbClr val="C2185B"/>
                        </a:solidFill>
                        <a:round/>
                      </a:ln>
                    </wps:spPr>
                    <wps:txbx>
                      <w:txbxContent>
                        <w:p>
                          <w:pPr>
                            <w:jc w:val="center"/>
                            <w:spacing w:before="0" w:after="0" w:line="240" w:lineRule="auto"/>
                          </w:pPr>
                          <w:r>
                            <w:rPr>
                              <w:rFonts w:ascii="Arial" w:hAnsi="Arial" w:cs="Arial"/>
                              <w:color w:val="14181F"/>
                              <w:sz w:val="18"/>
                              <w:szCs w:val="18"/>
                            </w:rPr>
                            <w:t xml:space="preserve">Action immédiate nécessaire ?</w:t>
                          </w:r>
                        </w:p>
                      </w:txbxContent>
                    </wps:txbx>
                    <wps:bodyPr rot="0" anchor="ctr" lIns="45720" tIns="0" rIns="45720" bIns="0" anchorCtr="0">
                      <a:noAutofit/>
                    </wps:bodyPr>
                  </wps:wsp>
                  <wps:wsp>
                    <wps:cNvPr id="29" name="etape29"/>
                    <wps:cNvSpPr/>
                    <wps:spPr>
                      <a:xfrm>
                        <a:off x="2381250" y="4975097"/>
                        <a:ext cx="1905000" cy="666750"/>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Mettre en place action immédiate (correction)</w:t>
                          </w:r>
                        </w:p>
                      </w:txbxContent>
                    </wps:txbx>
                    <wps:bodyPr rot="0" anchor="ctr" lIns="45720" tIns="0" rIns="45720" bIns="0" anchorCtr="0">
                      <a:noAutofit/>
                    </wps:bodyPr>
                  </wps:wsp>
                  <wps:wsp>
                    <wps:cNvPr id="30" name="etape30"/>
                    <wps:cNvSpPr/>
                    <wps:spPr>
                      <a:xfrm>
                        <a:off x="2381250" y="6022847"/>
                        <a:ext cx="1905000" cy="666750"/>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Définir action corrective (D5 - méthode 8D)</w:t>
                          </w:r>
                        </w:p>
                      </w:txbxContent>
                    </wps:txbx>
                    <wps:bodyPr rot="0" anchor="ctr" lIns="45720" tIns="0" rIns="45720" bIns="0" anchorCtr="0">
                      <a:noAutofit/>
                    </wps:bodyPr>
                  </wps:wsp>
                  <wps:wsp>
                    <wps:cNvPr id="31" name="etape31"/>
                    <wps:cNvSpPr/>
                    <wps:spPr>
                      <a:xfrm>
                        <a:off x="5334000" y="323850"/>
                        <a:ext cx="1905000" cy="666750"/>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Mettre en œuvre et communiquer</w:t>
                          </w:r>
                        </w:p>
                      </w:txbxContent>
                    </wps:txbx>
                    <wps:bodyPr rot="0" anchor="ctr" lIns="45720" tIns="0" rIns="45720" bIns="0" anchorCtr="0">
                      <a:noAutofit/>
                    </wps:bodyPr>
                  </wps:wsp>
                  <wps:wsp>
                    <wps:cNvPr id="32" name="etape32"/>
                    <wps:cNvSpPr/>
                    <wps:spPr>
                      <a:xfrm>
                        <a:off x="5334000" y="1371600"/>
                        <a:ext cx="1905000" cy="666750"/>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Vérifier efficacité (D7 - 30 à 90 jours)</w:t>
                          </w:r>
                        </w:p>
                      </w:txbxContent>
                    </wps:txbx>
                    <wps:bodyPr rot="0" anchor="ctr" lIns="45720" tIns="0" rIns="45720" bIns="0" anchorCtr="0">
                      <a:noAutofit/>
                    </wps:bodyPr>
                  </wps:wsp>
                  <wps:wsp>
                    <wps:cNvPr id="33" name="etape33"/>
                    <wps:cNvSpPr/>
                    <wps:spPr>
                      <a:xfrm>
                        <a:off x="5334000" y="2419350"/>
                        <a:ext cx="1905000" cy="857250"/>
                      </a:xfrm>
                      <a:prstGeom prst="flowChartDecision">
                        <a:avLst/>
                      </a:prstGeom>
                      <a:solidFill>
                        <a:srgbClr val="FCE4EC"/>
                      </a:solidFill>
                      <a:ln w="12700" cap="flat">
                        <a:solidFill>
                          <a:srgbClr val="C2185B"/>
                        </a:solidFill>
                        <a:round/>
                      </a:ln>
                    </wps:spPr>
                    <wps:txbx>
                      <w:txbxContent>
                        <w:p>
                          <w:pPr>
                            <w:jc w:val="center"/>
                            <w:spacing w:before="0" w:after="0" w:line="240" w:lineRule="auto"/>
                          </w:pPr>
                          <w:r>
                            <w:rPr>
                              <w:rFonts w:ascii="Arial" w:hAnsi="Arial" w:cs="Arial"/>
                              <w:color w:val="14181F"/>
                              <w:sz w:val="18"/>
                              <w:szCs w:val="18"/>
                            </w:rPr>
                            <w:t xml:space="preserve">Action efficace ?</w:t>
                          </w:r>
                        </w:p>
                      </w:txbxContent>
                    </wps:txbx>
                    <wps:bodyPr rot="0" anchor="ctr" lIns="45720" tIns="0" rIns="45720" bIns="0" anchorCtr="0">
                      <a:noAutofit/>
                    </wps:bodyPr>
                  </wps:wsp>
                  <wps:wsp>
                    <wps:cNvPr id="34" name="etape34"/>
                    <wps:cNvSpPr/>
                    <wps:spPr>
                      <a:xfrm>
                        <a:off x="5334000" y="3657600"/>
                        <a:ext cx="1905000" cy="936498"/>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Clôturer et capitaliser (D8)</w:t>
                          </w:r>
                        </w:p>
                      </w:txbxContent>
                    </wps:txbx>
                    <wps:bodyPr rot="0" anchor="ctr" lIns="45720" tIns="0" rIns="45720" bIns="0" anchorCtr="0">
                      <a:noAutofit/>
                    </wps:bodyPr>
                  </wps:wsp>
                  <wps:wsp>
                    <wps:cNvPr id="35" name="etape35"/>
                    <wps:cNvSpPr/>
                    <wps:spPr>
                      <a:xfrm>
                        <a:off x="5334000" y="4975097"/>
                        <a:ext cx="1905000" cy="666750"/>
                      </a:xfrm>
                      <a:prstGeom prst="roundRect">
                        <a:avLst/>
                      </a:prstGeom>
                      <a:solidFill>
                        <a:srgbClr val="DEEBF7"/>
                      </a:solidFill>
                      <a:ln w="12700" cap="flat">
                        <a:solidFill>
                          <a:srgbClr val="2E5FA3"/>
                        </a:solidFill>
                        <a:round/>
                      </a:ln>
                    </wps:spPr>
                    <wps:txbx>
                      <w:txbxContent>
                        <w:p>
                          <w:pPr>
                            <w:jc w:val="center"/>
                            <w:spacing w:before="0" w:after="0" w:line="240" w:lineRule="auto"/>
                          </w:pPr>
                          <w:r>
                            <w:rPr>
                              <w:rFonts w:ascii="Arial" w:hAnsi="Arial" w:cs="Arial"/>
                              <w:color w:val="14181F"/>
                              <w:sz w:val="18"/>
                              <w:szCs w:val="18"/>
                            </w:rPr>
                            <w:t xml:space="preserve">Relancer l'analyse (retour D4)</w:t>
                          </w:r>
                        </w:p>
                      </w:txbxContent>
                    </wps:txbx>
                    <wps:bodyPr rot="0" anchor="ctr" lIns="45720" tIns="0" rIns="45720" bIns="0" anchorCtr="0">
                      <a:noAutofit/>
                    </wps:bodyPr>
                  </wps:wsp>
                  <wps:wsp>
                    <wps:cNvPr id="36" name="etape36"/>
                    <wps:cNvSpPr/>
                    <wps:spPr>
                      <a:xfrm>
                        <a:off x="5524500" y="6022847"/>
                        <a:ext cx="1524000" cy="666750"/>
                      </a:xfrm>
                      <a:prstGeom prst="flowChartTerminator">
                        <a:avLst/>
                      </a:prstGeom>
                      <a:solidFill>
                        <a:srgbClr val="C5E0B4"/>
                      </a:solidFill>
                      <a:ln w="12700" cap="flat">
                        <a:solidFill>
                          <a:srgbClr val="548235"/>
                        </a:solidFill>
                        <a:round/>
                      </a:ln>
                    </wps:spPr>
                    <wps:txbx>
                      <w:txbxContent>
                        <w:p>
                          <w:pPr>
                            <w:jc w:val="center"/>
                            <w:spacing w:before="0" w:after="0" w:line="240" w:lineRule="auto"/>
                          </w:pPr>
                          <w:r>
                            <w:rPr>
                              <w:rFonts w:ascii="Arial" w:hAnsi="Arial" w:cs="Arial"/>
                              <w:color w:val="14181F"/>
                              <w:sz w:val="18"/>
                              <w:szCs w:val="18"/>
                            </w:rPr>
                            <w:t xml:space="preserve">Amélioration intégrée</w:t>
                          </w:r>
                        </w:p>
                      </w:txbxContent>
                    </wps:txbx>
                    <wps:bodyPr rot="0" anchor="ctr" lIns="45720" tIns="0" rIns="45720" bIns="0" anchorCtr="0">
                      <a:noAutofit/>
                    </wps:bodyPr>
                  </wps:wsp>
                </wpg:wgp>
              </a:graphicData>
            </a:graphic>
          </wp:inline>
        </w:drawing>
      </w:r>
    </w:p>
    <w:p>
      <w:pPr>
        <w:spacing w:before="280" w:after="240"/>
        <w:jc w:val="center"/>
      </w:pPr>
      <w:r>
        <w:rPr>
          <w:i/>
          <w:color w:val="595959"/>
          <w:sz w:val="18"/>
          <w:szCs w:val="18"/>
        </w:rPr>
        <w:t xml:space="preserve">Figure : Logigramme du processus PS-QMS</w:t>
      </w:r>
    </w:p>
    <w:p>
      <w:pPr>
        <w:pStyle w:val="Heading1"/>
      </w:pPr>
      <w:bookmarkStart w:id="970008" w:name="_Toc7000008"/>
      <w:r>
        <w:t xml:space="preserve">9. Interactions du processus</w:t>
      </w:r>
      <w:bookmarkEnd w:id="970008"/>
    </w:p>
    <w:p>
      <w:r>
        <w:t xml:space="preserve">Les interactions de ce processus avec les autres processus du SMQ sont décrites dans la matrice des interactions de la Cartographie des processus (F-MGT-05). Les principales interactions sont détaillées dans les tableaux de données d’entrée (section 5) et de données de sortie (section 6) ci-dessus.</w:t>
      </w:r>
    </w:p>
    <w:p>
      <w:pPr>
        <w:pStyle w:val="Heading1"/>
      </w:pPr>
      <w:bookmarkStart w:id="970009" w:name="_Toc7000009"/>
      <w:r>
        <w:t xml:space="preserve">10. Indicateurs de performance</w:t>
      </w:r>
      <w:bookmarkEnd w:id="970009"/>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2563"/>
        <w:gridCol w:w="2776"/>
        <w:gridCol w:w="1708"/>
        <w:gridCol w:w="1281"/>
        <w:gridCol w:w="1310"/>
      </w:tblGrid>
      <w:tr>
        <w:trPr>
          <w:tblHeader/>
          <w:cantSplit/>
        </w:trPr>
        <w:tc>
          <w:tcPr>
            <w:tcW w:w="2563" w:type="dxa"/>
            <w:shd w:val="clear" w:color="auto" w:fill="1F4E79"/>
            <w:vAlign w:val="center"/>
          </w:tcPr>
          <w:p>
            <w:pPr>
              <w:spacing w:before="40" w:after="40"/>
            </w:pPr>
            <w:r>
              <w:rPr>
                <w:b/>
                <w:color w:val="FFFFFF"/>
                <w:sz w:val="18"/>
                <w:szCs w:val="18"/>
              </w:rPr>
              <w:t xml:space="preserve">Indicateur</w:t>
            </w:r>
          </w:p>
        </w:tc>
        <w:tc>
          <w:tcPr>
            <w:tcW w:w="2776" w:type="dxa"/>
            <w:shd w:val="clear" w:color="auto" w:fill="1F4E79"/>
            <w:vAlign w:val="center"/>
          </w:tcPr>
          <w:p>
            <w:pPr>
              <w:spacing w:before="40" w:after="40"/>
            </w:pPr>
            <w:r>
              <w:rPr>
                <w:b/>
                <w:color w:val="FFFFFF"/>
                <w:sz w:val="18"/>
                <w:szCs w:val="18"/>
              </w:rPr>
              <w:t xml:space="preserve">Formule</w:t>
            </w:r>
          </w:p>
        </w:tc>
        <w:tc>
          <w:tcPr>
            <w:tcW w:w="1708" w:type="dxa"/>
            <w:shd w:val="clear" w:color="auto" w:fill="1F4E79"/>
            <w:vAlign w:val="center"/>
          </w:tcPr>
          <w:p>
            <w:pPr>
              <w:spacing w:before="40" w:after="40"/>
            </w:pPr>
            <w:r>
              <w:rPr>
                <w:b/>
                <w:color w:val="FFFFFF"/>
                <w:sz w:val="18"/>
                <w:szCs w:val="18"/>
              </w:rPr>
              <w:t xml:space="preserve">Fréquence</w:t>
            </w:r>
          </w:p>
        </w:tc>
        <w:tc>
          <w:tcPr>
            <w:tcW w:w="1281" w:type="dxa"/>
            <w:shd w:val="clear" w:color="auto" w:fill="1F4E79"/>
            <w:vAlign w:val="center"/>
          </w:tcPr>
          <w:p>
            <w:pPr>
              <w:spacing w:before="40" w:after="40"/>
            </w:pPr>
            <w:r>
              <w:rPr>
                <w:b/>
                <w:color w:val="FFFFFF"/>
                <w:sz w:val="18"/>
                <w:szCs w:val="18"/>
              </w:rPr>
              <w:t xml:space="preserve">Cible</w:t>
            </w:r>
          </w:p>
        </w:tc>
        <w:tc>
          <w:tcPr>
            <w:tcW w:w="1310" w:type="dxa"/>
            <w:shd w:val="clear" w:color="auto" w:fill="1F4E79"/>
            <w:vAlign w:val="center"/>
          </w:tcPr>
          <w:p>
            <w:pPr>
              <w:spacing w:before="40" w:after="40"/>
            </w:pPr>
            <w:r>
              <w:rPr>
                <w:b/>
                <w:color w:val="FFFFFF"/>
                <w:sz w:val="18"/>
                <w:szCs w:val="18"/>
              </w:rPr>
              <w:t xml:space="preserve">Pilote</w:t>
            </w:r>
          </w:p>
        </w:tc>
      </w:tr>
      <w:tr>
        <w:trPr>
          <w:cantSplit/>
        </w:trPr>
        <w:tc>
          <w:tcPr>
            <w:tcW w:w="2563" w:type="dxa"/>
            <w:vAlign w:val="center"/>
          </w:tcPr>
          <w:p>
            <w:pPr>
              <w:spacing w:before="40" w:after="40"/>
            </w:pPr>
            <w:r>
              <w:rPr>
                <w:sz w:val="18"/>
                <w:szCs w:val="18"/>
              </w:rPr>
              <w:t xml:space="preserve">Taux de clôture des actions correctives</w:t>
            </w:r>
          </w:p>
        </w:tc>
        <w:tc>
          <w:tcPr>
            <w:tcW w:w="2776" w:type="dxa"/>
            <w:vAlign w:val="center"/>
          </w:tcPr>
          <w:p>
            <w:pPr>
              <w:spacing w:before="40" w:after="40"/>
            </w:pPr>
            <w:r>
              <w:rPr>
                <w:sz w:val="18"/>
                <w:szCs w:val="18"/>
              </w:rPr>
              <w:t xml:space="preserve">AC clôturées / Total × 100</w:t>
            </w:r>
          </w:p>
        </w:tc>
        <w:tc>
          <w:tcPr>
            <w:tcW w:w="1708" w:type="dxa"/>
            <w:vAlign w:val="center"/>
          </w:tcPr>
          <w:p>
            <w:pPr>
              <w:spacing w:before="40" w:after="40"/>
            </w:pPr>
            <w:r>
              <w:rPr>
                <w:sz w:val="18"/>
                <w:szCs w:val="18"/>
              </w:rPr>
              <w:t xml:space="preserve">Mensuel</w:t>
            </w:r>
          </w:p>
        </w:tc>
        <w:tc>
          <w:tcPr>
            <w:tcW w:w="1281" w:type="dxa"/>
            <w:vAlign w:val="center"/>
          </w:tcPr>
          <w:p>
            <w:pPr>
              <w:spacing w:before="40" w:after="40"/>
            </w:pPr>
            <w:r>
              <w:rPr>
                <w:sz w:val="18"/>
                <w:szCs w:val="18"/>
              </w:rPr>
              <w:t xml:space="preserve">≥ 95%</w:t>
            </w:r>
          </w:p>
        </w:tc>
        <w:tc>
          <w:tcPr>
            <w:tcW w:w="1310" w:type="dxa"/>
            <w:vAlign w:val="center"/>
          </w:tcPr>
          <w:p>
            <w:pPr>
              <w:spacing w:before="40" w:after="40"/>
            </w:pPr>
            <w:r>
              <w:rPr>
                <w:sz w:val="18"/>
                <w:szCs w:val="18"/>
              </w:rPr>
              <w:t xml:space="preserve">Responsable Qualité</w:t>
            </w:r>
          </w:p>
        </w:tc>
      </w:tr>
      <w:tr>
        <w:trPr>
          <w:cantSplit/>
        </w:trPr>
        <w:tc>
          <w:tcPr>
            <w:tcW w:w="2563" w:type="dxa"/>
            <w:shd w:val="clear" w:color="auto" w:fill="F2F6FA"/>
            <w:vAlign w:val="center"/>
          </w:tcPr>
          <w:p>
            <w:pPr>
              <w:spacing w:before="40" w:after="40"/>
            </w:pPr>
            <w:r>
              <w:rPr>
                <w:sz w:val="18"/>
                <w:szCs w:val="18"/>
              </w:rPr>
              <w:t xml:space="preserve">Délai moyen de clôture des AC</w:t>
            </w:r>
          </w:p>
        </w:tc>
        <w:tc>
          <w:tcPr>
            <w:tcW w:w="2776" w:type="dxa"/>
            <w:shd w:val="clear" w:color="auto" w:fill="F2F6FA"/>
            <w:vAlign w:val="center"/>
          </w:tcPr>
          <w:p>
            <w:pPr>
              <w:spacing w:before="40" w:after="40"/>
            </w:pPr>
            <w:r>
              <w:rPr>
                <w:sz w:val="18"/>
                <w:szCs w:val="18"/>
              </w:rPr>
              <w:t xml:space="preserve">Somme des jours / Nombre d’AC clôturées</w:t>
            </w:r>
          </w:p>
        </w:tc>
        <w:tc>
          <w:tcPr>
            <w:tcW w:w="1708" w:type="dxa"/>
            <w:shd w:val="clear" w:color="auto" w:fill="F2F6FA"/>
            <w:vAlign w:val="center"/>
          </w:tcPr>
          <w:p>
            <w:pPr>
              <w:spacing w:before="40" w:after="40"/>
            </w:pPr>
            <w:r>
              <w:rPr>
                <w:sz w:val="18"/>
                <w:szCs w:val="18"/>
              </w:rPr>
              <w:t xml:space="preserve">Mensuel</w:t>
            </w:r>
          </w:p>
        </w:tc>
        <w:tc>
          <w:tcPr>
            <w:tcW w:w="1281" w:type="dxa"/>
            <w:shd w:val="clear" w:color="auto" w:fill="F2F6FA"/>
            <w:vAlign w:val="center"/>
          </w:tcPr>
          <w:p>
            <w:pPr>
              <w:spacing w:before="40" w:after="40"/>
            </w:pPr>
            <w:r>
              <w:rPr>
                <w:sz w:val="18"/>
                <w:szCs w:val="18"/>
              </w:rPr>
              <w:t xml:space="preserve">≤ 30 jours</w:t>
            </w:r>
          </w:p>
        </w:tc>
        <w:tc>
          <w:tcPr>
            <w:tcW w:w="1310" w:type="dxa"/>
            <w:shd w:val="clear" w:color="auto" w:fill="F2F6FA"/>
            <w:vAlign w:val="center"/>
          </w:tcPr>
          <w:p>
            <w:pPr>
              <w:spacing w:before="40" w:after="40"/>
            </w:pPr>
            <w:r>
              <w:rPr>
                <w:sz w:val="18"/>
                <w:szCs w:val="18"/>
              </w:rPr>
              <w:t xml:space="preserve">Responsable Qualité</w:t>
            </w:r>
          </w:p>
        </w:tc>
      </w:tr>
      <w:tr>
        <w:trPr>
          <w:cantSplit/>
        </w:trPr>
        <w:tc>
          <w:tcPr>
            <w:tcW w:w="2563" w:type="dxa"/>
            <w:vAlign w:val="center"/>
          </w:tcPr>
          <w:p>
            <w:pPr>
              <w:spacing w:before="40" w:after="40"/>
            </w:pPr>
            <w:r>
              <w:rPr>
                <w:sz w:val="18"/>
                <w:szCs w:val="18"/>
              </w:rPr>
              <w:t xml:space="preserve">Taux d’efficacité des AC</w:t>
            </w:r>
          </w:p>
        </w:tc>
        <w:tc>
          <w:tcPr>
            <w:tcW w:w="2776" w:type="dxa"/>
            <w:vAlign w:val="center"/>
          </w:tcPr>
          <w:p>
            <w:pPr>
              <w:spacing w:before="40" w:after="40"/>
            </w:pPr>
            <w:r>
              <w:rPr>
                <w:sz w:val="18"/>
                <w:szCs w:val="18"/>
              </w:rPr>
              <w:t xml:space="preserve">AC efficaces / AC revues × 100</w:t>
            </w:r>
          </w:p>
        </w:tc>
        <w:tc>
          <w:tcPr>
            <w:tcW w:w="1708" w:type="dxa"/>
            <w:vAlign w:val="center"/>
          </w:tcPr>
          <w:p>
            <w:pPr>
              <w:spacing w:before="40" w:after="40"/>
            </w:pPr>
            <w:r>
              <w:rPr>
                <w:sz w:val="18"/>
                <w:szCs w:val="18"/>
              </w:rPr>
              <w:t xml:space="preserve">Trimestriel</w:t>
            </w:r>
          </w:p>
        </w:tc>
        <w:tc>
          <w:tcPr>
            <w:tcW w:w="1281" w:type="dxa"/>
            <w:vAlign w:val="center"/>
          </w:tcPr>
          <w:p>
            <w:pPr>
              <w:spacing w:before="40" w:after="40"/>
            </w:pPr>
            <w:r>
              <w:rPr>
                <w:sz w:val="18"/>
                <w:szCs w:val="18"/>
              </w:rPr>
              <w:t xml:space="preserve">≥ 85%</w:t>
            </w:r>
          </w:p>
        </w:tc>
        <w:tc>
          <w:tcPr>
            <w:tcW w:w="1310" w:type="dxa"/>
            <w:vAlign w:val="center"/>
          </w:tcPr>
          <w:p>
            <w:pPr>
              <w:spacing w:before="40" w:after="40"/>
            </w:pPr>
            <w:r>
              <w:rPr>
                <w:sz w:val="18"/>
                <w:szCs w:val="18"/>
              </w:rPr>
              <w:t xml:space="preserve">Responsable Qualité</w:t>
            </w:r>
          </w:p>
        </w:tc>
      </w:tr>
      <w:tr>
        <w:trPr>
          <w:cantSplit/>
        </w:trPr>
        <w:tc>
          <w:tcPr>
            <w:tcW w:w="2563" w:type="dxa"/>
            <w:shd w:val="clear" w:color="auto" w:fill="F2F6FA"/>
            <w:vAlign w:val="center"/>
          </w:tcPr>
          <w:p>
            <w:pPr>
              <w:spacing w:before="40" w:after="40"/>
            </w:pPr>
            <w:r>
              <w:rPr>
                <w:sz w:val="18"/>
                <w:szCs w:val="18"/>
              </w:rPr>
              <w:t xml:space="preserve">Taux de NC majeures par audit</w:t>
            </w:r>
          </w:p>
        </w:tc>
        <w:tc>
          <w:tcPr>
            <w:tcW w:w="2776" w:type="dxa"/>
            <w:shd w:val="clear" w:color="auto" w:fill="F2F6FA"/>
            <w:vAlign w:val="center"/>
          </w:tcPr>
          <w:p>
            <w:pPr>
              <w:spacing w:before="40" w:after="40"/>
            </w:pPr>
            <w:r>
              <w:rPr>
                <w:sz w:val="18"/>
                <w:szCs w:val="18"/>
              </w:rPr>
              <w:t xml:space="preserve">NC majeures / cycle d’audit</w:t>
            </w:r>
          </w:p>
        </w:tc>
        <w:tc>
          <w:tcPr>
            <w:tcW w:w="1708" w:type="dxa"/>
            <w:shd w:val="clear" w:color="auto" w:fill="F2F6FA"/>
            <w:vAlign w:val="center"/>
          </w:tcPr>
          <w:p>
            <w:pPr>
              <w:spacing w:before="40" w:after="40"/>
            </w:pPr>
            <w:r>
              <w:rPr>
                <w:sz w:val="18"/>
                <w:szCs w:val="18"/>
              </w:rPr>
              <w:t xml:space="preserve">Par audit</w:t>
            </w:r>
          </w:p>
        </w:tc>
        <w:tc>
          <w:tcPr>
            <w:tcW w:w="1281" w:type="dxa"/>
            <w:shd w:val="clear" w:color="auto" w:fill="F2F6FA"/>
            <w:vAlign w:val="center"/>
          </w:tcPr>
          <w:p>
            <w:pPr>
              <w:spacing w:before="40" w:after="40"/>
            </w:pPr>
            <w:r>
              <w:rPr>
                <w:sz w:val="18"/>
                <w:szCs w:val="18"/>
              </w:rPr>
              <w:t xml:space="preserve">≤ 2</w:t>
            </w:r>
          </w:p>
        </w:tc>
        <w:tc>
          <w:tcPr>
            <w:tcW w:w="1310" w:type="dxa"/>
            <w:shd w:val="clear" w:color="auto" w:fill="F2F6FA"/>
            <w:vAlign w:val="center"/>
          </w:tcPr>
          <w:p>
            <w:pPr>
              <w:spacing w:before="40" w:after="40"/>
            </w:pPr>
            <w:r>
              <w:rPr>
                <w:sz w:val="18"/>
                <w:szCs w:val="18"/>
              </w:rPr>
              <w:t xml:space="preserve">Responsable Qualité</w:t>
            </w:r>
          </w:p>
        </w:tc>
      </w:tr>
      <w:tr>
        <w:trPr>
          <w:cantSplit/>
        </w:trPr>
        <w:tc>
          <w:tcPr>
            <w:tcW w:w="2563" w:type="dxa"/>
            <w:vAlign w:val="center"/>
          </w:tcPr>
          <w:p>
            <w:pPr>
              <w:spacing w:before="40" w:after="40"/>
            </w:pPr>
            <w:r>
              <w:rPr>
                <w:sz w:val="18"/>
                <w:szCs w:val="18"/>
              </w:rPr>
              <w:t xml:space="preserve">Taux de réalisation du programme d’audit</w:t>
            </w:r>
          </w:p>
        </w:tc>
        <w:tc>
          <w:tcPr>
            <w:tcW w:w="2776" w:type="dxa"/>
            <w:vAlign w:val="center"/>
          </w:tcPr>
          <w:p>
            <w:pPr>
              <w:spacing w:before="40" w:after="40"/>
            </w:pPr>
            <w:r>
              <w:rPr>
                <w:sz w:val="18"/>
                <w:szCs w:val="18"/>
              </w:rPr>
              <w:t xml:space="preserve">Audits réalisés / planifiés × 100</w:t>
            </w:r>
          </w:p>
        </w:tc>
        <w:tc>
          <w:tcPr>
            <w:tcW w:w="1708" w:type="dxa"/>
            <w:vAlign w:val="center"/>
          </w:tcPr>
          <w:p>
            <w:pPr>
              <w:spacing w:before="40" w:after="40"/>
            </w:pPr>
            <w:r>
              <w:rPr>
                <w:sz w:val="18"/>
                <w:szCs w:val="18"/>
              </w:rPr>
              <w:t xml:space="preserve">Annuel</w:t>
            </w:r>
          </w:p>
        </w:tc>
        <w:tc>
          <w:tcPr>
            <w:tcW w:w="1281" w:type="dxa"/>
            <w:vAlign w:val="center"/>
          </w:tcPr>
          <w:p>
            <w:pPr>
              <w:spacing w:before="40" w:after="40"/>
            </w:pPr>
            <w:r>
              <w:rPr>
                <w:sz w:val="18"/>
                <w:szCs w:val="18"/>
              </w:rPr>
              <w:t xml:space="preserve">≥ 90%</w:t>
            </w:r>
          </w:p>
        </w:tc>
        <w:tc>
          <w:tcPr>
            <w:tcW w:w="1310" w:type="dxa"/>
            <w:vAlign w:val="center"/>
          </w:tcPr>
          <w:p>
            <w:pPr>
              <w:spacing w:before="40" w:after="40"/>
            </w:pPr>
            <w:r>
              <w:rPr>
                <w:sz w:val="18"/>
                <w:szCs w:val="18"/>
              </w:rPr>
              <w:t xml:space="preserve">Responsable Qualité</w:t>
            </w:r>
          </w:p>
        </w:tc>
      </w:tr>
      <w:tr>
        <w:trPr>
          <w:cantSplit/>
        </w:trPr>
        <w:tc>
          <w:tcPr>
            <w:tcW w:w="2563" w:type="dxa"/>
            <w:shd w:val="clear" w:color="auto" w:fill="F2F6FA"/>
            <w:vAlign w:val="center"/>
          </w:tcPr>
          <w:p>
            <w:pPr>
              <w:spacing w:before="40" w:after="40"/>
            </w:pPr>
            <w:r>
              <w:rPr>
                <w:sz w:val="18"/>
                <w:szCs w:val="18"/>
              </w:rPr>
              <w:t xml:space="preserve">Taux de conformité documentaire</w:t>
            </w:r>
          </w:p>
        </w:tc>
        <w:tc>
          <w:tcPr>
            <w:tcW w:w="2776" w:type="dxa"/>
            <w:shd w:val="clear" w:color="auto" w:fill="F2F6FA"/>
            <w:vAlign w:val="center"/>
          </w:tcPr>
          <w:p>
            <w:pPr>
              <w:spacing w:before="40" w:after="40"/>
            </w:pPr>
            <w:r>
              <w:rPr>
                <w:sz w:val="18"/>
                <w:szCs w:val="18"/>
              </w:rPr>
              <w:t xml:space="preserve">Docs à jour / Total docs × 100</w:t>
            </w:r>
          </w:p>
        </w:tc>
        <w:tc>
          <w:tcPr>
            <w:tcW w:w="1708" w:type="dxa"/>
            <w:shd w:val="clear" w:color="auto" w:fill="F2F6FA"/>
            <w:vAlign w:val="center"/>
          </w:tcPr>
          <w:p>
            <w:pPr>
              <w:spacing w:before="40" w:after="40"/>
            </w:pPr>
            <w:r>
              <w:rPr>
                <w:sz w:val="18"/>
                <w:szCs w:val="18"/>
              </w:rPr>
              <w:t xml:space="preserve">Mensuel</w:t>
            </w:r>
          </w:p>
        </w:tc>
        <w:tc>
          <w:tcPr>
            <w:tcW w:w="1281" w:type="dxa"/>
            <w:shd w:val="clear" w:color="auto" w:fill="F2F6FA"/>
            <w:vAlign w:val="center"/>
          </w:tcPr>
          <w:p>
            <w:pPr>
              <w:spacing w:before="40" w:after="40"/>
            </w:pPr>
            <w:r>
              <w:rPr>
                <w:sz w:val="18"/>
                <w:szCs w:val="18"/>
              </w:rPr>
              <w:t xml:space="preserve">100%</w:t>
            </w:r>
          </w:p>
        </w:tc>
        <w:tc>
          <w:tcPr>
            <w:tcW w:w="1310" w:type="dxa"/>
            <w:shd w:val="clear" w:color="auto" w:fill="F2F6FA"/>
            <w:vAlign w:val="center"/>
          </w:tcPr>
          <w:p>
            <w:pPr>
              <w:spacing w:before="40" w:after="40"/>
            </w:pPr>
            <w:r>
              <w:rPr>
                <w:sz w:val="18"/>
                <w:szCs w:val="18"/>
              </w:rPr>
              <w:t xml:space="preserve">Responsable Qualité</w:t>
            </w:r>
          </w:p>
        </w:tc>
      </w:tr>
    </w:tbl>
    <w:p>
      <w:pPr>
        <w:spacing w:before="0" w:after="0"/>
      </w:pPr>
    </w:p>
    <w:p>
      <w:pPr>
        <w:pStyle w:val="Heading1"/>
      </w:pPr>
      <w:bookmarkStart w:id="970010" w:name="_Toc7000010"/>
      <w:r>
        <w:t xml:space="preserve">11. Risques et points de maîtrise</w:t>
      </w:r>
      <w:bookmarkEnd w:id="970010"/>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2990"/>
        <w:gridCol w:w="2990"/>
        <w:gridCol w:w="3658"/>
      </w:tblGrid>
      <w:tr>
        <w:trPr>
          <w:tblHeader/>
          <w:cantSplit/>
        </w:trPr>
        <w:tc>
          <w:tcPr>
            <w:tcW w:w="2990" w:type="dxa"/>
            <w:shd w:val="clear" w:color="auto" w:fill="1F4E79"/>
            <w:vAlign w:val="center"/>
          </w:tcPr>
          <w:p>
            <w:pPr>
              <w:spacing w:before="40" w:after="40"/>
            </w:pPr>
            <w:r>
              <w:rPr>
                <w:b/>
                <w:color w:val="FFFFFF"/>
                <w:sz w:val="18"/>
                <w:szCs w:val="18"/>
              </w:rPr>
              <w:t xml:space="preserve">Risque identifié</w:t>
            </w:r>
          </w:p>
        </w:tc>
        <w:tc>
          <w:tcPr>
            <w:tcW w:w="2990" w:type="dxa"/>
            <w:shd w:val="clear" w:color="auto" w:fill="1F4E79"/>
            <w:vAlign w:val="center"/>
          </w:tcPr>
          <w:p>
            <w:pPr>
              <w:spacing w:before="40" w:after="40"/>
            </w:pPr>
            <w:r>
              <w:rPr>
                <w:b/>
                <w:color w:val="FFFFFF"/>
                <w:sz w:val="18"/>
                <w:szCs w:val="18"/>
              </w:rPr>
              <w:t xml:space="preserve">Impact potentiel</w:t>
            </w:r>
          </w:p>
        </w:tc>
        <w:tc>
          <w:tcPr>
            <w:tcW w:w="3658" w:type="dxa"/>
            <w:shd w:val="clear" w:color="auto" w:fill="1F4E79"/>
            <w:vAlign w:val="center"/>
          </w:tcPr>
          <w:p>
            <w:pPr>
              <w:spacing w:before="40" w:after="40"/>
            </w:pPr>
            <w:r>
              <w:rPr>
                <w:b/>
                <w:color w:val="FFFFFF"/>
                <w:sz w:val="18"/>
                <w:szCs w:val="18"/>
              </w:rPr>
              <w:t xml:space="preserve">Maîtrise / Atténuation</w:t>
            </w:r>
          </w:p>
        </w:tc>
      </w:tr>
      <w:tr>
        <w:trPr>
          <w:cantSplit/>
        </w:trPr>
        <w:tc>
          <w:tcPr>
            <w:tcW w:w="2990" w:type="dxa"/>
            <w:vAlign w:val="center"/>
          </w:tcPr>
          <w:p>
            <w:pPr>
              <w:spacing w:before="40" w:after="40"/>
            </w:pPr>
            <w:r>
              <w:rPr>
                <w:sz w:val="18"/>
                <w:szCs w:val="18"/>
              </w:rPr>
              <w:t xml:space="preserve">Documentation obsolète ou inaccessible</w:t>
            </w:r>
          </w:p>
        </w:tc>
        <w:tc>
          <w:tcPr>
            <w:tcW w:w="2990" w:type="dxa"/>
            <w:vAlign w:val="center"/>
          </w:tcPr>
          <w:p>
            <w:pPr>
              <w:spacing w:before="40" w:after="40"/>
            </w:pPr>
            <w:r>
              <w:rPr>
                <w:sz w:val="18"/>
                <w:szCs w:val="18"/>
              </w:rPr>
              <w:t xml:space="preserve">Utilisation de versions périmées</w:t>
            </w:r>
          </w:p>
        </w:tc>
        <w:tc>
          <w:tcPr>
            <w:tcW w:w="3658" w:type="dxa"/>
            <w:vAlign w:val="center"/>
          </w:tcPr>
          <w:p>
            <w:pPr>
              <w:spacing w:before="40" w:after="40"/>
            </w:pPr>
            <w:r>
              <w:rPr>
                <w:sz w:val="18"/>
                <w:szCs w:val="18"/>
              </w:rPr>
              <w:t xml:space="preserve">Portail SMQ, liste maîtresse, cycle de revue annuel</w:t>
            </w:r>
          </w:p>
        </w:tc>
      </w:tr>
      <w:tr>
        <w:trPr>
          <w:cantSplit/>
        </w:trPr>
        <w:tc>
          <w:tcPr>
            <w:tcW w:w="2990" w:type="dxa"/>
            <w:shd w:val="clear" w:color="auto" w:fill="F2F6FA"/>
            <w:vAlign w:val="center"/>
          </w:tcPr>
          <w:p>
            <w:pPr>
              <w:spacing w:before="40" w:after="40"/>
            </w:pPr>
            <w:r>
              <w:rPr>
                <w:sz w:val="18"/>
                <w:szCs w:val="18"/>
              </w:rPr>
              <w:t xml:space="preserve">Analyse des causes superficielle</w:t>
            </w:r>
          </w:p>
        </w:tc>
        <w:tc>
          <w:tcPr>
            <w:tcW w:w="2990" w:type="dxa"/>
            <w:shd w:val="clear" w:color="auto" w:fill="F2F6FA"/>
            <w:vAlign w:val="center"/>
          </w:tcPr>
          <w:p>
            <w:pPr>
              <w:spacing w:before="40" w:after="40"/>
            </w:pPr>
            <w:r>
              <w:rPr>
                <w:sz w:val="18"/>
                <w:szCs w:val="18"/>
              </w:rPr>
              <w:t xml:space="preserve">Récurrence des NC</w:t>
            </w:r>
          </w:p>
        </w:tc>
        <w:tc>
          <w:tcPr>
            <w:tcW w:w="3658" w:type="dxa"/>
            <w:shd w:val="clear" w:color="auto" w:fill="F2F6FA"/>
            <w:vAlign w:val="center"/>
          </w:tcPr>
          <w:p>
            <w:pPr>
              <w:spacing w:before="40" w:after="40"/>
            </w:pPr>
            <w:r>
              <w:rPr>
                <w:sz w:val="18"/>
                <w:szCs w:val="18"/>
              </w:rPr>
              <w:t xml:space="preserve">Formation RCA, méthodologies structurées (Ishikawa, 5P, AMDEC)</w:t>
            </w:r>
          </w:p>
        </w:tc>
      </w:tr>
      <w:tr>
        <w:trPr>
          <w:cantSplit/>
        </w:trPr>
        <w:tc>
          <w:tcPr>
            <w:tcW w:w="2990" w:type="dxa"/>
            <w:vAlign w:val="center"/>
          </w:tcPr>
          <w:p>
            <w:pPr>
              <w:spacing w:before="40" w:after="40"/>
            </w:pPr>
            <w:r>
              <w:rPr>
                <w:sz w:val="18"/>
                <w:szCs w:val="18"/>
              </w:rPr>
              <w:t xml:space="preserve">Programme d’audit non respecté</w:t>
            </w:r>
          </w:p>
        </w:tc>
        <w:tc>
          <w:tcPr>
            <w:tcW w:w="2990" w:type="dxa"/>
            <w:vAlign w:val="center"/>
          </w:tcPr>
          <w:p>
            <w:pPr>
              <w:spacing w:before="40" w:after="40"/>
            </w:pPr>
            <w:r>
              <w:rPr>
                <w:sz w:val="18"/>
                <w:szCs w:val="18"/>
              </w:rPr>
              <w:t xml:space="preserve">Zones non auditées, non-conformités non détectées</w:t>
            </w:r>
          </w:p>
        </w:tc>
        <w:tc>
          <w:tcPr>
            <w:tcW w:w="3658" w:type="dxa"/>
            <w:vAlign w:val="center"/>
          </w:tcPr>
          <w:p>
            <w:pPr>
              <w:spacing w:before="40" w:after="40"/>
            </w:pPr>
            <w:r>
              <w:rPr>
                <w:sz w:val="18"/>
                <w:szCs w:val="18"/>
              </w:rPr>
              <w:t xml:space="preserve">Planification basée sur les risques, suivi mensuel</w:t>
            </w:r>
          </w:p>
        </w:tc>
      </w:tr>
      <w:tr>
        <w:trPr>
          <w:cantSplit/>
        </w:trPr>
        <w:tc>
          <w:tcPr>
            <w:tcW w:w="2990" w:type="dxa"/>
            <w:shd w:val="clear" w:color="auto" w:fill="F2F6FA"/>
            <w:vAlign w:val="center"/>
          </w:tcPr>
          <w:p>
            <w:pPr>
              <w:spacing w:before="40" w:after="40"/>
            </w:pPr>
            <w:r>
              <w:rPr>
                <w:sz w:val="18"/>
                <w:szCs w:val="18"/>
              </w:rPr>
              <w:t xml:space="preserve">Surcharge documentaire</w:t>
            </w:r>
          </w:p>
        </w:tc>
        <w:tc>
          <w:tcPr>
            <w:tcW w:w="2990" w:type="dxa"/>
            <w:shd w:val="clear" w:color="auto" w:fill="F2F6FA"/>
            <w:vAlign w:val="center"/>
          </w:tcPr>
          <w:p>
            <w:pPr>
              <w:spacing w:before="40" w:after="40"/>
            </w:pPr>
            <w:r>
              <w:rPr>
                <w:sz w:val="18"/>
                <w:szCs w:val="18"/>
              </w:rPr>
              <w:t xml:space="preserve">Système complexe, faible adoption</w:t>
            </w:r>
          </w:p>
        </w:tc>
        <w:tc>
          <w:tcPr>
            <w:tcW w:w="3658" w:type="dxa"/>
            <w:shd w:val="clear" w:color="auto" w:fill="F2F6FA"/>
            <w:vAlign w:val="center"/>
          </w:tcPr>
          <w:p>
            <w:pPr>
              <w:spacing w:before="40" w:after="40"/>
            </w:pPr>
            <w:r>
              <w:rPr>
                <w:sz w:val="18"/>
                <w:szCs w:val="18"/>
              </w:rPr>
              <w:t xml:space="preserve">Approche lean, révision périodique de la pertinence</w:t>
            </w:r>
          </w:p>
        </w:tc>
      </w:tr>
      <w:tr>
        <w:trPr>
          <w:cantSplit/>
        </w:trPr>
        <w:tc>
          <w:tcPr>
            <w:tcW w:w="2990" w:type="dxa"/>
            <w:vAlign w:val="center"/>
          </w:tcPr>
          <w:p>
            <w:pPr>
              <w:spacing w:before="40" w:after="40"/>
            </w:pPr>
            <w:r>
              <w:rPr>
                <w:sz w:val="18"/>
                <w:szCs w:val="18"/>
              </w:rPr>
              <w:t xml:space="preserve">Délais de clôture des AC excessifs</w:t>
            </w:r>
          </w:p>
        </w:tc>
        <w:tc>
          <w:tcPr>
            <w:tcW w:w="2990" w:type="dxa"/>
            <w:vAlign w:val="center"/>
          </w:tcPr>
          <w:p>
            <w:pPr>
              <w:spacing w:before="40" w:after="40"/>
            </w:pPr>
            <w:r>
              <w:rPr>
                <w:sz w:val="18"/>
                <w:szCs w:val="18"/>
              </w:rPr>
              <w:t xml:space="preserve">Accumulation de NC ouvertes</w:t>
            </w:r>
          </w:p>
        </w:tc>
        <w:tc>
          <w:tcPr>
            <w:tcW w:w="3658" w:type="dxa"/>
            <w:vAlign w:val="center"/>
          </w:tcPr>
          <w:p>
            <w:pPr>
              <w:spacing w:before="40" w:after="40"/>
            </w:pPr>
            <w:r>
              <w:rPr>
                <w:sz w:val="18"/>
                <w:szCs w:val="18"/>
              </w:rPr>
              <w:t xml:space="preserve">Escalade à 3 niveaux, suivi mensuel des délais</w:t>
            </w:r>
          </w:p>
        </w:tc>
      </w:tr>
      <w:tr>
        <w:trPr>
          <w:cantSplit/>
        </w:trPr>
        <w:tc>
          <w:tcPr>
            <w:tcW w:w="2990" w:type="dxa"/>
            <w:shd w:val="clear" w:color="auto" w:fill="F2F6FA"/>
            <w:vAlign w:val="center"/>
          </w:tcPr>
          <w:p>
            <w:pPr>
              <w:spacing w:before="40" w:after="40"/>
            </w:pPr>
            <w:r>
              <w:rPr>
                <w:sz w:val="18"/>
                <w:szCs w:val="18"/>
              </w:rPr>
              <w:t xml:space="preserve">Perte de données de performance</w:t>
            </w:r>
          </w:p>
        </w:tc>
        <w:tc>
          <w:tcPr>
            <w:tcW w:w="2990" w:type="dxa"/>
            <w:shd w:val="clear" w:color="auto" w:fill="F2F6FA"/>
            <w:vAlign w:val="center"/>
          </w:tcPr>
          <w:p>
            <w:pPr>
              <w:spacing w:before="40" w:after="40"/>
            </w:pPr>
            <w:r>
              <w:rPr>
                <w:sz w:val="18"/>
                <w:szCs w:val="18"/>
              </w:rPr>
              <w:t xml:space="preserve">Décisions sans base factuelle</w:t>
            </w:r>
          </w:p>
        </w:tc>
        <w:tc>
          <w:tcPr>
            <w:tcW w:w="3658" w:type="dxa"/>
            <w:shd w:val="clear" w:color="auto" w:fill="F2F6FA"/>
            <w:vAlign w:val="center"/>
          </w:tcPr>
          <w:p>
            <w:pPr>
              <w:spacing w:before="40" w:after="40"/>
            </w:pPr>
            <w:r>
              <w:rPr>
                <w:sz w:val="18"/>
                <w:szCs w:val="18"/>
              </w:rPr>
              <w:t xml:space="preserve">Sauvegarde, redondance, contrôle d’accès</w:t>
            </w:r>
          </w:p>
        </w:tc>
      </w:tr>
    </w:tbl>
    <w:p>
      <w:pPr>
        <w:spacing w:before="0" w:after="0"/>
      </w:pPr>
    </w:p>
    <w:p>
      <w:pPr>
        <w:pStyle w:val="Heading1"/>
      </w:pPr>
      <w:bookmarkStart w:id="970011" w:name="_Toc7000011"/>
      <w:r>
        <w:t xml:space="preserve">12. Documents et enregistrements associés</w:t>
      </w:r>
      <w:bookmarkEnd w:id="970011"/>
    </w:p>
    <w:p>
      <w:r>
        <w:t xml:space="preserve">Se référer à la Liste maîtresse de l’information documentée (S-QMS-01) et à la Matrice clause-document (LOT5) pour l’inventaire complet des documents associés à ce processus.</w:t>
      </w:r>
    </w:p>
    <w:p>
      <w:pPr>
        <w:pStyle w:val="Heading1"/>
      </w:pPr>
      <w:bookmarkStart w:id="970012" w:name="_Toc7000012"/>
      <w:r>
        <w:t xml:space="preserve">13. Historique des révisions</w:t>
      </w:r>
      <w:bookmarkEnd w:id="970012"/>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747"/>
        <w:gridCol w:w="1495"/>
        <w:gridCol w:w="1708"/>
        <w:gridCol w:w="5688"/>
      </w:tblGrid>
      <w:tr>
        <w:trPr>
          <w:tblHeader/>
          <w:cantSplit/>
        </w:trPr>
        <w:tc>
          <w:tcPr>
            <w:tcW w:w="747" w:type="dxa"/>
            <w:shd w:val="clear" w:color="auto" w:fill="1F4E79"/>
            <w:vAlign w:val="center"/>
          </w:tcPr>
          <w:p>
            <w:pPr>
              <w:spacing w:before="40" w:after="40"/>
            </w:pPr>
            <w:r>
              <w:rPr>
                <w:b/>
                <w:color w:val="FFFFFF"/>
                <w:sz w:val="18"/>
                <w:szCs w:val="18"/>
              </w:rPr>
              <w:t xml:space="preserve">Rév.</w:t>
            </w:r>
          </w:p>
        </w:tc>
        <w:tc>
          <w:tcPr>
            <w:tcW w:w="1495" w:type="dxa"/>
            <w:shd w:val="clear" w:color="auto" w:fill="1F4E79"/>
            <w:vAlign w:val="center"/>
          </w:tcPr>
          <w:p>
            <w:pPr>
              <w:spacing w:before="40" w:after="40"/>
            </w:pPr>
            <w:r>
              <w:rPr>
                <w:b/>
                <w:color w:val="FFFFFF"/>
                <w:sz w:val="18"/>
                <w:szCs w:val="18"/>
              </w:rPr>
              <w:t xml:space="preserve">Date</w:t>
            </w:r>
          </w:p>
        </w:tc>
        <w:tc>
          <w:tcPr>
            <w:tcW w:w="1708" w:type="dxa"/>
            <w:shd w:val="clear" w:color="auto" w:fill="1F4E79"/>
            <w:vAlign w:val="center"/>
          </w:tcPr>
          <w:p>
            <w:pPr>
              <w:spacing w:before="40" w:after="40"/>
            </w:pPr>
            <w:r>
              <w:rPr>
                <w:b/>
                <w:color w:val="FFFFFF"/>
                <w:sz w:val="18"/>
                <w:szCs w:val="18"/>
              </w:rPr>
              <w:t xml:space="preserve">Auteur</w:t>
            </w:r>
          </w:p>
        </w:tc>
        <w:tc>
          <w:tcPr>
            <w:tcW w:w="5688" w:type="dxa"/>
            <w:shd w:val="clear" w:color="auto" w:fill="1F4E79"/>
            <w:vAlign w:val="center"/>
          </w:tcPr>
          <w:p>
            <w:pPr>
              <w:spacing w:before="40" w:after="40"/>
            </w:pPr>
            <w:r>
              <w:rPr>
                <w:b/>
                <w:color w:val="FFFFFF"/>
                <w:sz w:val="18"/>
                <w:szCs w:val="18"/>
              </w:rPr>
              <w:t xml:space="preserve">Description de la modification</w:t>
            </w:r>
          </w:p>
        </w:tc>
      </w:tr>
      <w:tr>
        <w:trPr>
          <w:cantSplit/>
        </w:trPr>
        <w:tc>
          <w:tcPr>
            <w:tcW w:w="747" w:type="dxa"/>
            <w:vAlign w:val="center"/>
          </w:tcPr>
          <w:p>
            <w:pPr>
              <w:spacing w:before="40" w:after="40"/>
            </w:pPr>
            <w:r>
              <w:rPr>
                <w:sz w:val="18"/>
                <w:szCs w:val="18"/>
              </w:rPr>
              <w:t xml:space="preserve">1</w:t>
            </w:r>
          </w:p>
        </w:tc>
        <w:tc>
          <w:tcPr>
            <w:tcW w:w="1495" w:type="dxa"/>
            <w:vAlign w:val="center"/>
          </w:tcPr>
          <w:p>
            <w:pPr>
              <w:spacing w:before="40" w:after="40"/>
            </w:pPr>
            <w:r>
              <w:rPr>
                <w:sz w:val="18"/>
                <w:szCs w:val="18"/>
              </w:rPr>
              <w:t xml:space="preserve">2026-03-01</w:t>
            </w:r>
          </w:p>
        </w:tc>
        <w:tc>
          <w:tcPr>
            <w:tcW w:w="1708" w:type="dxa"/>
            <w:vAlign w:val="center"/>
          </w:tcPr>
          <w:p>
            <w:pPr>
              <w:spacing w:before="40" w:after="40"/>
            </w:pPr>
            <w:r>
              <w:rPr>
                <w:sz w:val="18"/>
                <w:szCs w:val="18"/>
              </w:rPr>
              <w:t xml:space="preserve">[Auteur]</w:t>
            </w:r>
          </w:p>
        </w:tc>
        <w:tc>
          <w:tcPr>
            <w:tcW w:w="5688" w:type="dxa"/>
            <w:vAlign w:val="center"/>
          </w:tcPr>
          <w:p>
            <w:pPr>
              <w:spacing w:before="40" w:after="40"/>
            </w:pPr>
            <w:r>
              <w:rPr>
                <w:sz w:val="18"/>
                <w:szCs w:val="18"/>
              </w:rPr>
              <w:t xml:space="preserve">Création initiale de la fiche processus Qualité et Amélioration Continue.</w:t>
            </w:r>
          </w:p>
        </w:tc>
      </w:tr>
    </w:tbl>
    <w:p>
      <w:pPr>
        <w:spacing w:before="0" w:after="0"/>
      </w:pPr>
    </w:p>
    <w:p>
      <w:pPr>
        <w:pStyle w:val="Heading1"/>
      </w:pPr>
      <w:bookmarkStart w:id="970013" w:name="_Toc7000013"/>
      <w:r>
        <w:t xml:space="preserve">14. Approbation</w:t>
      </w:r>
      <w:bookmarkEnd w:id="970013"/>
    </w:p>
    <w:tbl>
      <w:tblPr>
        <w:tblW w:w="5000" w:type="pct"/>
        <w:tblLayout w:type="autofi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60" w:type="dxa"/>
          <w:left w:w="90" w:type="dxa"/>
          <w:bottom w:w="60" w:type="dxa"/>
          <w:right w:w="90" w:type="dxa"/>
        </w:tblCellMar>
      </w:tblPr>
      <w:tblGrid>
        <w:gridCol w:w="2349"/>
        <w:gridCol w:w="2349"/>
        <w:gridCol w:w="2590"/>
        <w:gridCol w:w="2350"/>
      </w:tblGrid>
      <w:tr>
        <w:trPr>
          <w:tblHeader/>
          <w:cantSplit/>
        </w:trPr>
        <w:tc>
          <w:tcPr>
            <w:tcW w:w="2349" w:type="dxa"/>
            <w:shd w:val="clear" w:color="auto" w:fill="1F4E79"/>
            <w:vAlign w:val="center"/>
          </w:tcPr>
          <w:p>
            <w:pPr>
              <w:spacing w:before="40" w:after="40"/>
            </w:pPr>
            <w:r>
              <w:rPr>
                <w:b/>
                <w:color w:val="FFFFFF"/>
                <w:sz w:val="18"/>
                <w:szCs w:val="18"/>
              </w:rPr>
              <w:t xml:space="preserve">Rôle</w:t>
            </w:r>
          </w:p>
        </w:tc>
        <w:tc>
          <w:tcPr>
            <w:tcW w:w="2349" w:type="dxa"/>
            <w:shd w:val="clear" w:color="auto" w:fill="1F4E79"/>
            <w:vAlign w:val="center"/>
          </w:tcPr>
          <w:p>
            <w:pPr>
              <w:spacing w:before="40" w:after="40"/>
            </w:pPr>
            <w:r>
              <w:rPr>
                <w:b/>
                <w:color w:val="FFFFFF"/>
                <w:sz w:val="18"/>
                <w:szCs w:val="18"/>
              </w:rPr>
              <w:t xml:space="preserve">Nom</w:t>
            </w:r>
          </w:p>
        </w:tc>
        <w:tc>
          <w:tcPr>
            <w:tcW w:w="2590" w:type="dxa"/>
            <w:shd w:val="clear" w:color="auto" w:fill="1F4E79"/>
            <w:vAlign w:val="center"/>
          </w:tcPr>
          <w:p>
            <w:pPr>
              <w:spacing w:before="40" w:after="40"/>
            </w:pPr>
            <w:r>
              <w:rPr>
                <w:b/>
                <w:color w:val="FFFFFF"/>
                <w:sz w:val="18"/>
                <w:szCs w:val="18"/>
              </w:rPr>
              <w:t xml:space="preserve">Signature</w:t>
            </w:r>
          </w:p>
        </w:tc>
        <w:tc>
          <w:tcPr>
            <w:tcW w:w="2350" w:type="dxa"/>
            <w:shd w:val="clear" w:color="auto" w:fill="1F4E79"/>
            <w:vAlign w:val="center"/>
          </w:tcPr>
          <w:p>
            <w:pPr>
              <w:spacing w:before="40" w:after="40"/>
            </w:pPr>
            <w:r>
              <w:rPr>
                <w:b/>
                <w:color w:val="FFFFFF"/>
                <w:sz w:val="18"/>
                <w:szCs w:val="18"/>
              </w:rPr>
              <w:t xml:space="preserve">Date</w:t>
            </w:r>
          </w:p>
        </w:tc>
      </w:tr>
      <w:tr>
        <w:trPr>
          <w:cantSplit/>
        </w:trPr>
        <w:tc>
          <w:tcPr>
            <w:tcW w:w="2349" w:type="dxa"/>
            <w:vAlign w:val="center"/>
          </w:tcPr>
          <w:p>
            <w:pPr>
              <w:spacing w:before="40" w:after="40"/>
            </w:pPr>
            <w:r>
              <w:rPr>
                <w:sz w:val="18"/>
                <w:szCs w:val="18"/>
              </w:rPr>
              <w:t xml:space="preserve">Rédigé par :</w:t>
            </w:r>
          </w:p>
        </w:tc>
        <w:tc>
          <w:tcPr>
            <w:tcW w:w="2349" w:type="dxa"/>
            <w:vAlign w:val="center"/>
          </w:tcPr>
          <w:p>
            <w:pPr>
              <w:spacing w:before="40" w:after="40"/>
            </w:pPr>
          </w:p>
        </w:tc>
        <w:tc>
          <w:tcPr>
            <w:tcW w:w="2590" w:type="dxa"/>
            <w:vAlign w:val="center"/>
          </w:tcPr>
          <w:p>
            <w:pPr>
              <w:spacing w:before="40" w:after="40"/>
            </w:pPr>
          </w:p>
        </w:tc>
        <w:tc>
          <w:tcPr>
            <w:tcW w:w="2350" w:type="dxa"/>
            <w:vAlign w:val="center"/>
          </w:tcPr>
          <w:p>
            <w:pPr>
              <w:spacing w:before="40" w:after="40"/>
            </w:pPr>
          </w:p>
        </w:tc>
      </w:tr>
      <w:tr>
        <w:trPr>
          <w:cantSplit/>
        </w:trPr>
        <w:tc>
          <w:tcPr>
            <w:tcW w:w="2349" w:type="dxa"/>
            <w:shd w:val="clear" w:color="auto" w:fill="F2F6FA"/>
            <w:vAlign w:val="center"/>
          </w:tcPr>
          <w:p>
            <w:pPr>
              <w:spacing w:before="40" w:after="40"/>
            </w:pPr>
            <w:r>
              <w:rPr>
                <w:sz w:val="18"/>
                <w:szCs w:val="18"/>
              </w:rPr>
              <w:t xml:space="preserve">Vérifié par :</w:t>
            </w:r>
          </w:p>
        </w:tc>
        <w:tc>
          <w:tcPr>
            <w:tcW w:w="2349" w:type="dxa"/>
            <w:shd w:val="clear" w:color="auto" w:fill="F2F6FA"/>
            <w:vAlign w:val="center"/>
          </w:tcPr>
          <w:p>
            <w:pPr>
              <w:spacing w:before="40" w:after="40"/>
            </w:pPr>
          </w:p>
        </w:tc>
        <w:tc>
          <w:tcPr>
            <w:tcW w:w="2590" w:type="dxa"/>
            <w:shd w:val="clear" w:color="auto" w:fill="F2F6FA"/>
            <w:vAlign w:val="center"/>
          </w:tcPr>
          <w:p>
            <w:pPr>
              <w:spacing w:before="40" w:after="40"/>
            </w:pPr>
          </w:p>
        </w:tc>
        <w:tc>
          <w:tcPr>
            <w:tcW w:w="2350" w:type="dxa"/>
            <w:shd w:val="clear" w:color="auto" w:fill="F2F6FA"/>
            <w:vAlign w:val="center"/>
          </w:tcPr>
          <w:p>
            <w:pPr>
              <w:spacing w:before="40" w:after="40"/>
            </w:pPr>
          </w:p>
        </w:tc>
      </w:tr>
      <w:tr>
        <w:trPr>
          <w:cantSplit/>
        </w:trPr>
        <w:tc>
          <w:tcPr>
            <w:tcW w:w="2349" w:type="dxa"/>
            <w:vAlign w:val="center"/>
          </w:tcPr>
          <w:p>
            <w:pPr>
              <w:spacing w:before="40" w:after="40"/>
            </w:pPr>
            <w:r>
              <w:rPr>
                <w:sz w:val="18"/>
                <w:szCs w:val="18"/>
              </w:rPr>
              <w:t xml:space="preserve">Approuvé par :</w:t>
            </w:r>
          </w:p>
        </w:tc>
        <w:tc>
          <w:tcPr>
            <w:tcW w:w="2349" w:type="dxa"/>
            <w:vAlign w:val="center"/>
          </w:tcPr>
          <w:p>
            <w:pPr>
              <w:spacing w:before="40" w:after="40"/>
            </w:pPr>
          </w:p>
        </w:tc>
        <w:tc>
          <w:tcPr>
            <w:tcW w:w="2590" w:type="dxa"/>
            <w:vAlign w:val="center"/>
          </w:tcPr>
          <w:p>
            <w:pPr>
              <w:spacing w:before="40" w:after="40"/>
            </w:pPr>
          </w:p>
        </w:tc>
        <w:tc>
          <w:tcPr>
            <w:tcW w:w="2350" w:type="dxa"/>
            <w:vAlign w:val="center"/>
          </w:tcPr>
          <w:p>
            <w:pPr>
              <w:spacing w:before="40" w:after="40"/>
            </w:pPr>
          </w:p>
        </w:tc>
      </w:tr>
    </w:tbl>
    <w:p>
      <w:pPr>
        <w:spacing w:before="0" w:after="0"/>
      </w:pPr>
    </w:p>
    <w:p>
      <w:r>
        <w:t xml:space="preserve">Ce document est un document contrôlé. Les copies imprimées ne sont pas contrôlées. Vérifiez toujours la version en vigueur sur le portail SMQ.</w:t>
      </w:r>
    </w:p>
    <w:sectPr>
      <w:headerReference w:type="default" r:id="rIdHdr"/>
      <w:footerReference w:type="default" r:id="rIdFtr"/>
      <w:pgSz w:w="11906" w:h="16838"/>
      <w:pgMar w:top="1417" w:right="1134" w:bottom="1134" w:left="1134"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xmlns:wps="http://schemas.microsoft.com/office/word/2010/wordprocessingShape" xmlns:wpg="http://schemas.microsoft.com/office/word/2010/wordprocessingGroup" xmlns:mc="http://schemas.openxmlformats.org/markup-compatibility/2006" xmlns:v="urn:schemas-microsoft-com:vml" xmlns:o="urn:schemas-microsoft-com:office:office" xmlns:w10="urn:schemas-microsoft-com:office:word" xmlns:w14="http://schemas.microsoft.com/office/word/2010/wordml" xmlns:wp14="http://schemas.microsoft.com/office/word/2010/wordprocessingDrawing" mc:Ignorable="w14 wp14">
  <w:p>
    <w:pPr>
      <w:spacing w:before="0" w:after="0"/>
      <w:jc w:val="center"/>
    </w:pPr>
    <w:r>
      <w:rPr>
        <w:color w:val="8A8A8A"/>
        <w:sz w:val="14"/>
        <w:szCs w:val="14"/>
      </w:rPr>
      <w:t xml:space="preserve">Document maîtrisé. Toute reproduction imprimée est une copie non maîtrisée. Diffusion : [interne / restreinte / publique]</w:t>
    </w:r>
  </w:p>
  <w:p>
    <w:pPr>
      <w:spacing w:before="0" w:after="0"/>
      <w:jc w:val="center"/>
    </w:pPr>
    <w:r>
      <w:rPr>
        <w:i/>
        <w:color w:val="B4B4B4"/>
        <w:sz w:val="13"/>
        <w:szCs w:val="13"/>
      </w:rPr>
      <w:t xml:space="preserve">Trame conçue par Hub Engineering Management Consulting · hem-consulting.com · [ligne à supprimer après personnalisation]</w:t>
    </w:r>
  </w:p>
  <w:p>
    <w:pPr>
      <w:jc w:val="center"/>
    </w:pPr>
    <w:r>
      <w:rPr>
        <w:sz w:val="14"/>
        <w:color w:val="8A8A8A"/>
      </w:rPr>
      <w:t xml:space="preserve">Page </w:t>
    </w:r>
    <w:r>
      <w:fldChar w:fldCharType="begin"/>
    </w:r>
    <w:r>
      <w:instrText xml:space="preserve"> PAGE </w:instrText>
    </w:r>
    <w:r>
      <w:fldChar w:fldCharType="separate"/>
    </w:r>
    <w:r>
      <w:t>1</w:t>
    </w:r>
    <w:r>
      <w:fldChar w:fldCharType="end"/>
    </w:r>
    <w:r>
      <w:rPr>
        <w:sz w:val="14"/>
        <w:color w:val="8A8A8A"/>
      </w:rPr>
      <w:t xml:space="preserve"> / </w:t>
    </w:r>
    <w:r>
      <w:fldChar w:fldCharType="begin"/>
    </w:r>
    <w:r>
      <w:instrText xml:space="preserve"> NUMPAGES </w:instrText>
    </w:r>
    <w:r>
      <w:fldChar w:fldCharType="separate"/>
    </w:r>
    <w:r>
      <w:t>1</w:t>
    </w:r>
    <w:r>
      <w:fldChar w:fldCharType="end"/>
    </w:r>
  </w:p>
</w:ftr>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xmlns:wps="http://schemas.microsoft.com/office/word/2010/wordprocessingShape" xmlns:wpg="http://schemas.microsoft.com/office/word/2010/wordprocessingGroup" xmlns:mc="http://schemas.openxmlformats.org/markup-compatibility/2006" xmlns:v="urn:schemas-microsoft-com:vml" xmlns:o="urn:schemas-microsoft-com:office:office" xmlns:w10="urn:schemas-microsoft-com:office:word" xmlns:w14="http://schemas.microsoft.com/office/word/2010/wordml" xmlns:wp14="http://schemas.microsoft.com/office/word/2010/wordprocessingDrawing" mc:Ignorable="w14 wp14">
  <w:tbl>
    <w:tblPr>
      <w:tblW w:w="5000" w:type="pct"/>
      <w:tblLayout w:type="autofit"/>
      <w:tblCellMar>
        <w:top w:w="0" w:type="dxa"/>
        <w:left w:w="80" w:type="dxa"/>
        <w:bottom w:w="60" w:type="dxa"/>
        <w:right w:w="80" w:type="dxa"/>
      </w:tblCellMar>
    </w:tblPr>
    <w:tblGrid>
      <w:gridCol w:w="1652"/>
      <w:gridCol w:w="5232"/>
      <w:gridCol w:w="2754"/>
    </w:tblGrid>
    <w:tr>
      <w:tc>
        <w:tcPr>
          <w:tcW w:w="1652" w:type="dxa"/>
          <w:tcBorders>
            <w:bottom w:val="single" w:sz="12" w:space="0" w:color="1F4E79"/>
          </w:tcBorders>
          <w:vAlign w:val="center"/>
        </w:tcPr>
        <w:p>
          <w:pPr>
            <w:spacing w:before="0" w:after="0"/>
          </w:pPr>
          <w:r>
            <w:rPr>
              <w:b/>
              <w:color w:val="595959"/>
              <w:sz w:val="16"/>
              <w:szCs w:val="16"/>
            </w:rPr>
            <w:t xml:space="preserve">[LOGO CLIENT]</w:t>
          </w:r>
        </w:p>
        <w:p>
          <w:pPr>
            <w:spacing w:before="0" w:after="0"/>
          </w:pPr>
          <w:r>
            <w:rPr>
              <w:color w:val="595959"/>
              <w:sz w:val="16"/>
              <w:szCs w:val="16"/>
            </w:rPr>
            <w:t xml:space="preserve">[NOM DE L'ORGANISME]</w:t>
          </w:r>
        </w:p>
      </w:tc>
      <w:tc>
        <w:tcPr>
          <w:tcW w:w="5232" w:type="dxa"/>
          <w:tcBorders>
            <w:bottom w:val="single" w:sz="12" w:space="0" w:color="1F4E79"/>
          </w:tcBorders>
          <w:vAlign w:val="center"/>
        </w:tcPr>
        <w:p>
          <w:pPr>
            <w:spacing w:before="0" w:after="0"/>
            <w:jc w:val="center"/>
          </w:pPr>
          <w:r>
            <w:rPr>
              <w:b/>
              <w:smallCaps/>
              <w:color w:val="1F4E79"/>
              <w:sz w:val="16"/>
              <w:szCs w:val="16"/>
            </w:rPr>
            <w:t xml:space="preserve">Fiche de processus</w:t>
          </w:r>
        </w:p>
        <w:p>
          <w:pPr>
            <w:spacing w:before="0" w:after="0"/>
            <w:jc w:val="center"/>
          </w:pPr>
          <w:r>
            <w:rPr>
              <w:b/>
              <w:color w:val="1F4E79"/>
              <w:sz w:val="20"/>
              <w:szCs w:val="20"/>
            </w:rPr>
            <w:t xml:space="preserve">Qualité et Amélioration Continue</w:t>
          </w:r>
        </w:p>
      </w:tc>
      <w:tc>
        <w:tcPr>
          <w:tcW w:w="2754" w:type="dxa"/>
          <w:tcBorders>
            <w:bottom w:val="single" w:sz="12" w:space="0" w:color="1F4E79"/>
          </w:tcBorders>
          <w:vAlign w:val="center"/>
        </w:tcPr>
        <w:p>
          <w:pPr>
            <w:spacing w:before="0" w:after="0"/>
            <w:jc w:val="right"/>
          </w:pPr>
          <w:r>
            <w:rPr>
              <w:color w:val="595959"/>
              <w:sz w:val="16"/>
              <w:szCs w:val="16"/>
            </w:rPr>
            <w:t xml:space="preserve">Code : PS-QMS</w:t>
          </w:r>
        </w:p>
        <w:p>
          <w:pPr>
            <w:spacing w:before="0" w:after="0"/>
            <w:jc w:val="right"/>
          </w:pPr>
          <w:r>
            <w:rPr>
              <w:color w:val="595959"/>
              <w:sz w:val="16"/>
              <w:szCs w:val="16"/>
            </w:rPr>
            <w:t xml:space="preserve">Version : 1.0</w:t>
          </w:r>
        </w:p>
        <w:p>
          <w:pPr>
            <w:spacing w:before="0" w:after="0"/>
            <w:jc w:val="right"/>
          </w:pPr>
          <w:r>
            <w:rPr>
              <w:color w:val="595959"/>
              <w:sz w:val="16"/>
              <w:szCs w:val="16"/>
            </w:rPr>
            <w:t xml:space="preserve">Date : [jj/mm/aaaa]</w:t>
          </w:r>
        </w:p>
      </w:tc>
    </w:tr>
  </w:tbl>
  <w:p>
    <w:pPr>
      <w:spacing w:before="0" w:after="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80"/>
      <w:outlineLvl w:val="0"/>
    </w:pPr>
    <w:rPr>
      <w:rFonts w:asciiTheme="majorHAnsi" w:eastAsiaTheme="majorEastAsia" w:hAnsiTheme="majorHAnsi" w:cstheme="majorBidi" w:ascii="Arial" w:hAnsi="Arial" w:eastAsia="Arial"/>
      <w:b/>
      <w:bCs/>
      <w:color w:val="1F4E79"/>
      <w:sz w:val="24"/>
      <w:szCs w:val="28"/>
    </w:rPr>
  </w:style>
  <w:style w:type="paragraph" w:styleId="Heading2">
    <w:name w:val="heading 2"/>
    <w:basedOn w:val="Normal"/>
    <w:next w:val="Normal"/>
    <w:link w:val="Heading2Char"/>
    <w:uiPriority w:val="9"/>
    <w:unhideWhenUsed/>
    <w:qFormat/>
    <w:rsid w:val="00FC693F"/>
    <w:pPr>
      <w:keepNext/>
      <w:keepLines/>
      <w:spacing w:before="240" w:after="80"/>
      <w:outlineLvl w:val="1"/>
    </w:pPr>
    <w:rPr>
      <w:rFonts w:asciiTheme="majorHAnsi" w:eastAsiaTheme="majorEastAsia" w:hAnsiTheme="majorHAnsi" w:cstheme="majorBidi" w:ascii="Arial" w:hAnsi="Arial" w:eastAsia="Arial"/>
      <w:b/>
      <w:bCs/>
      <w:color w:val="1F4E79"/>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F4E7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1F4E79"/>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1F4E79"/>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1F4E79"/>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1F4E79"/>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1F4E79"/>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1F4E79"/>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1F4E79"/>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1F4E79"/>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1F4E79"/>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1F4E79"/>
    </w:rPr>
  </w:style>
  <w:style w:type="character" w:customStyle="1" w:styleId="IntenseQuoteChar">
    <w:name w:val="Intense Quote Char"/>
    <w:basedOn w:val="DefaultParagraphFont"/>
    <w:link w:val="IntenseQuote"/>
    <w:uiPriority w:val="30"/>
    <w:rsid w:val="00FC693F"/>
    <w:rPr>
      <w:b/>
      <w:bCs/>
      <w:i/>
      <w:iCs/>
      <w:color w:val="1F4E79"/>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1F4E79"/>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uiPriority w:val="39"/>
    <w:pPr>
      <w:spacing w:after="60"/>
      <w:ind w:left="0"/>
      <w:tabs>
        <w:tab w:val="right" w:leader="dot" w:pos="9638"/>
      </w:tabs>
    </w:pPr>
  </w:style>
  <w:style w:type="paragraph" w:styleId="TOC2">
    <w:name w:val="toc 2"/>
    <w:basedOn w:val="Normal"/>
    <w:next w:val="Normal"/>
    <w:uiPriority w:val="39"/>
    <w:pPr>
      <w:spacing w:after="60"/>
      <w:ind w:left="220"/>
      <w:tabs>
        <w:tab w:val="right" w:leader="dot" w:pos="9638"/>
      </w:tabs>
    </w:pPr>
  </w:style>
  <w:style w:type="paragraph" w:styleId="TOC3">
    <w:name w:val="toc 3"/>
    <w:basedOn w:val="Normal"/>
    <w:next w:val="Normal"/>
    <w:uiPriority w:val="39"/>
    <w:pPr>
      <w:spacing w:after="60"/>
      <w:ind w:left="440"/>
      <w:tabs>
        <w:tab w:val="right" w:leader="dot" w:pos="9638"/>
      </w:tabs>
    </w:pPr>
  </w:style>
  <w:style w:type="character" w:styleId="Hyperlink">
    <w:name w:val="Hyperlink"/>
    <w:uiPriority w:val="99"/>
    <w:rPr>
      <w:color w:val="0563C1"/>
      <w:u w:val="single"/>
    </w:rPr>
  </w:style>
</w:styles>
</file>

<file path=word/_rels/document.xml.rels><?xml version="1.0" encoding="UTF-8" standalone="yes"?><Relationships xmlns="http://schemas.openxmlformats.org/package/2006/relationships"><Relationship Id="rIdSty" Type="http://schemas.openxmlformats.org/officeDocument/2006/relationships/styles" Target="styles.xml"/><Relationship Id="rIdSet" Type="http://schemas.openxmlformats.org/officeDocument/2006/relationships/settings" Target="settings.xml"/><Relationship Id="rIdNum" Type="http://schemas.openxmlformats.org/officeDocument/2006/relationships/numbering" Target="numbering.xml"/><Relationship Id="rIdFnt" Type="http://schemas.openxmlformats.org/officeDocument/2006/relationships/fontTable" Target="fontTable.xml"/><Relationship Id="rIdThm" Type="http://schemas.openxmlformats.org/officeDocument/2006/relationships/theme" Target="theme/theme1.xml"/><Relationship Id="rIdHdr" Type="http://schemas.openxmlformats.org/officeDocument/2006/relationships/header" Target="header1.xml"/><Relationship Id="rIdFtr"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Application>Hub Engineering Management Consulting</Application>
  <Company>HEMC</Company>
  <Manager>Hub Engineering Management Consulting</Manager>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Qualité et Amélioration Continue</dc:title>
  <dc:subject>Fiche de processus PS-QMS</dc:subject>
  <dc:creator>Hub Engineering Management Consulting</dc:creator>
  <cp:lastModifiedBy>Hub Engineering Management Consulting</cp:lastModifiedBy>
  <cp:keywords>PS-QMS</cp:keywords>
  <dc:description>Modele documentaire edite par HEMC, hem-consulting.com. A personnaliser par l'organisme utilisateur.</dc:description>
  <cp:category>Fiche de processus</cp:category>
  <cp:revision>1</cp:revision>
  <dcterms:created xsi:type="dcterms:W3CDTF">2026-08-13T00:00:00Z</dcterms:created>
  <dcterms:modified xsi:type="dcterms:W3CDTF">2026-08-13T00:00:00Z</dcterms:modified>
  <dc:language>fr-FR</dc:language>
</cp:coreProperties>
</file>