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612140" cy="612140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120" w:after="40"/>
        <w:jc w:val="center"/>
        <w:rPr/>
      </w:pPr>
      <w:r>
        <w:rPr>
          <w:rFonts w:eastAsia="Arial" w:cs="Arial"/>
          <w:b/>
          <w:i w:val="false"/>
          <w:color w:val="1F4E79"/>
          <w:sz w:val="24"/>
        </w:rPr>
        <w:t>[Nom organisation]</w:t>
      </w:r>
    </w:p>
    <w:p>
      <w:pPr>
        <w:pStyle w:val="Normal"/>
        <w:spacing w:before="0" w:after="320"/>
        <w:jc w:val="center"/>
        <w:rPr/>
      </w:pPr>
      <w:r>
        <w:rPr>
          <w:rFonts w:eastAsia="Arial" w:cs="Arial"/>
          <w:b w:val="false"/>
          <w:i/>
          <w:color w:val="2E75B6"/>
          <w:sz w:val="18"/>
        </w:rPr>
        <w:t>Système de Management de la Sécurité de l'Information — ISO/IEC 27001:2022</w:t>
      </w:r>
    </w:p>
    <w:p>
      <w:pPr>
        <w:pStyle w:val="Normal"/>
        <w:pBdr>
          <w:top w:val="single" w:sz="24" w:space="3" w:color="D69E2E"/>
        </w:pBdr>
        <w:shd w:val="clear" w:fill="1F4E79"/>
        <w:spacing w:before="0" w:after="0"/>
        <w:jc w:val="center"/>
        <w:rPr/>
      </w:pPr>
      <w:r>
        <w:rPr>
          <w:rFonts w:eastAsia="Arial" w:cs="Arial"/>
          <w:b/>
          <w:i w:val="false"/>
          <w:caps/>
          <w:color w:val="E0EBF7"/>
          <w:spacing w:val="30"/>
          <w:sz w:val="19"/>
        </w:rPr>
        <w:br/>
        <w:t>Guide</w:t>
        <w:br/>
      </w:r>
    </w:p>
    <w:p>
      <w:pPr>
        <w:pStyle w:val="Normal"/>
        <w:shd w:val="clear" w:fill="1F4E79"/>
        <w:spacing w:before="0" w:after="0"/>
        <w:jc w:val="center"/>
        <w:rPr/>
      </w:pPr>
      <w:r>
        <w:rPr>
          <w:rFonts w:eastAsia="Arial" w:cs="Arial"/>
          <w:b/>
          <w:i w:val="false"/>
          <w:color w:val="FFFFFF"/>
          <w:sz w:val="34"/>
        </w:rPr>
        <w:t>Guide d'utilisation</w:t>
      </w:r>
      <w:r>
        <w:rPr>
          <w:rFonts w:eastAsia="Arial" w:cs="Arial"/>
          <w:b w:val="false"/>
          <w:i w:val="false"/>
          <w:color w:val="FFFFFF"/>
          <w:sz w:val="34"/>
        </w:rPr>
        <w:br/>
      </w:r>
      <w:r>
        <w:rPr>
          <w:rFonts w:eastAsia="Arial" w:cs="Arial"/>
          <w:b/>
          <w:i w:val="false"/>
          <w:color w:val="FFFFFF"/>
          <w:sz w:val="34"/>
        </w:rPr>
        <w:t>du pack SMSI</w:t>
      </w:r>
    </w:p>
    <w:p>
      <w:pPr>
        <w:pStyle w:val="Normal"/>
        <w:pBdr>
          <w:bottom w:val="single" w:sz="12" w:space="3" w:color="4F9B3E"/>
        </w:pBdr>
        <w:shd w:val="clear" w:fill="1F4E79"/>
        <w:spacing w:before="0" w:after="0"/>
        <w:jc w:val="center"/>
        <w:rPr/>
      </w:pPr>
      <w:r>
        <w:rPr>
          <w:rFonts w:eastAsia="Arial" w:cs="Arial"/>
          <w:b w:val="false"/>
          <w:i w:val="false"/>
          <w:color w:val="1F4E79"/>
          <w:sz w:val="12"/>
        </w:rPr>
        <w:br/>
      </w:r>
    </w:p>
    <w:p>
      <w:pPr>
        <w:pStyle w:val="Normal"/>
        <w:spacing w:before="200" w:after="80"/>
        <w:jc w:val="center"/>
        <w:rPr/>
      </w:pPr>
      <w:r>
        <w:rPr>
          <w:rFonts w:eastAsia="Arial" w:cs="Arial"/>
          <w:b w:val="false"/>
          <w:i w:val="false"/>
          <w:color w:val="606A78"/>
          <w:sz w:val="20"/>
        </w:rPr>
        <w:t>Comment prendre en main, personnaliser et déployer le pack documentaire</w:t>
      </w:r>
    </w:p>
    <w:p>
      <w:pPr>
        <w:pStyle w:val="Normal"/>
        <w:pBdr>
          <w:top w:val="single" w:sz="4" w:space="3" w:color="E0EBF7"/>
          <w:left w:val="single" w:sz="4" w:space="3" w:color="E0EBF7"/>
          <w:bottom w:val="single" w:sz="4" w:space="3" w:color="E0EBF7"/>
          <w:right w:val="single" w:sz="4" w:space="3" w:color="E0EBF7"/>
        </w:pBdr>
        <w:shd w:val="clear" w:fill="F7FAFD"/>
        <w:spacing w:before="160" w:after="280"/>
        <w:jc w:val="center"/>
        <w:rPr/>
      </w:pPr>
      <w:r>
        <w:rPr>
          <w:rFonts w:eastAsia="Arial" w:cs="Arial"/>
          <w:b w:val="false"/>
          <w:i/>
          <w:color w:val="112C48"/>
          <w:sz w:val="18"/>
        </w:rPr>
        <w:t>Un pack documentaire ne certifie personne. Ce guide explique comment le transformer en système vivant, approprié par votre organisme.</w:t>
      </w:r>
    </w:p>
    <w:p>
      <w:pPr>
        <w:pStyle w:val="Normal"/>
        <w:spacing w:before="280" w:after="80"/>
        <w:jc w:val="center"/>
        <w:rPr/>
      </w:pPr>
      <w:r>
        <w:rPr>
          <w:rFonts w:eastAsia="Arial" w:cs="Arial"/>
          <w:b w:val="false"/>
          <w:i w:val="false"/>
          <w:color w:val="606A78"/>
          <w:sz w:val="18"/>
        </w:rPr>
        <w:t>Organisme :</w:t>
      </w:r>
    </w:p>
    <w:p>
      <w:pPr>
        <w:pStyle w:val="Normal"/>
        <w:pBdr>
          <w:top w:val="dashed" w:sz="4" w:space="3" w:color="2E75B6"/>
          <w:left w:val="dashed" w:sz="4" w:space="3" w:color="2E75B6"/>
          <w:bottom w:val="dashed" w:sz="4" w:space="3" w:color="2E75B6"/>
          <w:right w:val="dashed" w:sz="4" w:space="3" w:color="2E75B6"/>
        </w:pBdr>
        <w:spacing w:before="0" w:after="0"/>
        <w:jc w:val="center"/>
        <w:rPr/>
      </w:pPr>
      <w:r>
        <w:rPr>
          <w:rFonts w:eastAsia="Arial" w:cs="Arial"/>
          <w:b w:val="false"/>
          <w:i/>
          <w:color w:val="606A78"/>
          <w:sz w:val="20"/>
        </w:rPr>
        <w:t xml:space="preserve">  </w:t>
      </w:r>
      <w:r>
        <w:rPr>
          <w:rFonts w:eastAsia="Arial" w:cs="Arial"/>
          <w:b w:val="false"/>
          <w:i/>
          <w:color w:val="606A78"/>
          <w:sz w:val="20"/>
        </w:rPr>
        <w:t xml:space="preserve">[LOGO CLIENT]        [NOM DE L'ORGANISME]  </w:t>
      </w:r>
    </w:p>
    <w:p>
      <w:pPr>
        <w:pStyle w:val="Normal"/>
        <w:spacing w:before="440" w:after="0"/>
        <w:jc w:val="center"/>
        <w:rPr/>
      </w:pPr>
      <w:r>
        <w:rPr>
          <w:rFonts w:eastAsia="Arial" w:cs="Arial"/>
          <w:b w:val="false"/>
          <w:i w:val="false"/>
          <w:color w:val="606A78"/>
          <w:sz w:val="18"/>
        </w:rPr>
        <w:t>GUI-SI-001   ·   Version 1.0   ·   Juillet 2026</w:t>
      </w:r>
    </w:p>
    <w:p>
      <w:pPr>
        <w:pStyle w:val="Normal"/>
        <w:spacing w:before="40" w:after="0"/>
        <w:jc w:val="center"/>
        <w:rPr/>
      </w:pPr>
      <w:r>
        <w:rPr>
          <w:rFonts w:eastAsia="Arial" w:cs="Arial"/>
          <w:b w:val="false"/>
          <w:i/>
          <w:color w:val="606A78"/>
          <w:sz w:val="16"/>
        </w:rPr>
        <w:t>Hub Engineering Management Consulting  ·  hem-consulting.com</w:t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pBdr>
          <w:bottom w:val="single" w:sz="12" w:space="3" w:color="4F9B3E"/>
        </w:pBdr>
        <w:spacing w:before="0" w:after="160"/>
        <w:rPr/>
      </w:pPr>
      <w:r>
        <w:rPr>
          <w:rFonts w:eastAsia="Arial" w:cs="Arial"/>
          <w:b/>
          <w:i w:val="false"/>
          <w:color w:val="1F4E79"/>
          <w:sz w:val="28"/>
        </w:rPr>
        <w:t>Contrôle documentaire</w:t>
      </w:r>
    </w:p>
    <w:p>
      <w:pPr>
        <w:pStyle w:val="Heading2"/>
        <w:spacing w:before="200" w:after="100"/>
        <w:rPr/>
      </w:pPr>
      <w:bookmarkStart w:id="970000" w:name="_Toc7000000"/>
      <w:bookmarkStart w:id="0" w:name="__RefHeading___Toc470_3757726110"/>
      <w:bookmarkEnd w:id="0"/>
      <w:r>
        <w:rPr>
          <w:rFonts w:eastAsia="Arial" w:cs="Arial" w:ascii="Arial" w:hAnsi="Arial"/>
          <w:b/>
          <w:i w:val="false"/>
          <w:color w:val="2E75B6"/>
          <w:sz w:val="23"/>
        </w:rPr>
        <w:t>Cartouche</w:t>
      </w:r>
      <w:bookmarkEnd w:id="970000"/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1504"/>
        <w:gridCol w:w="1504"/>
        <w:gridCol w:w="1505"/>
        <w:gridCol w:w="1504"/>
        <w:gridCol w:w="1504"/>
        <w:gridCol w:w="1504"/>
      </w:tblGrid>
      <w:tr>
        <w:trPr>
          <w:tblHeader w:val="true"/>
        </w:trPr>
        <w:tc>
          <w:tcPr>
            <w:tcW w:w="1504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Code</w:t>
            </w:r>
          </w:p>
        </w:tc>
        <w:tc>
          <w:tcPr>
            <w:tcW w:w="1504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Version</w:t>
            </w:r>
          </w:p>
        </w:tc>
        <w:tc>
          <w:tcPr>
            <w:tcW w:w="1505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Date</w:t>
            </w:r>
          </w:p>
        </w:tc>
        <w:tc>
          <w:tcPr>
            <w:tcW w:w="1504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Rédacteur</w:t>
            </w:r>
          </w:p>
        </w:tc>
        <w:tc>
          <w:tcPr>
            <w:tcW w:w="1504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Vérificateur</w:t>
            </w:r>
          </w:p>
        </w:tc>
        <w:tc>
          <w:tcPr>
            <w:tcW w:w="1504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Approbateur</w:t>
            </w:r>
          </w:p>
        </w:tc>
      </w:tr>
      <w:tr>
        <w:trPr/>
        <w:tc>
          <w:tcPr>
            <w:tcW w:w="1504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GUI-SI-001</w:t>
            </w:r>
          </w:p>
        </w:tc>
        <w:tc>
          <w:tcPr>
            <w:tcW w:w="1504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1.0</w:t>
            </w:r>
          </w:p>
        </w:tc>
        <w:tc>
          <w:tcPr>
            <w:tcW w:w="1505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Juillet 2026</w:t>
            </w:r>
          </w:p>
        </w:tc>
        <w:tc>
          <w:tcPr>
            <w:tcW w:w="1504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[RSSI]</w:t>
            </w:r>
          </w:p>
        </w:tc>
        <w:tc>
          <w:tcPr>
            <w:tcW w:w="1504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[Responsable SMSI]</w:t>
            </w:r>
          </w:p>
        </w:tc>
        <w:tc>
          <w:tcPr>
            <w:tcW w:w="1504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[Direction générale]</w:t>
            </w:r>
          </w:p>
        </w:tc>
      </w:tr>
    </w:tbl>
    <w:p>
      <w:pPr>
        <w:pStyle w:val="Normal"/>
        <w:spacing w:before="0" w:after="80"/>
        <w:rPr/>
      </w:pPr>
      <w:r>
        <w:rPr/>
      </w:r>
    </w:p>
    <w:p>
      <w:pPr>
        <w:pStyle w:val="Heading2"/>
        <w:spacing w:before="200" w:after="100"/>
        <w:rPr/>
      </w:pPr>
      <w:bookmarkStart w:id="970001" w:name="_Toc7000001"/>
      <w:bookmarkStart w:id="1" w:name="__RefHeading___Toc472_3757726110"/>
      <w:bookmarkEnd w:id="1"/>
      <w:r>
        <w:rPr>
          <w:rFonts w:eastAsia="Arial" w:cs="Arial" w:ascii="Arial" w:hAnsi="Arial"/>
          <w:b/>
          <w:i w:val="false"/>
          <w:color w:val="2E75B6"/>
          <w:sz w:val="23"/>
        </w:rPr>
        <w:t>Historique des révisions</w:t>
      </w:r>
      <w:bookmarkEnd w:id="970001"/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2256"/>
        <w:gridCol w:w="2257"/>
        <w:gridCol w:w="2256"/>
        <w:gridCol w:w="2256"/>
      </w:tblGrid>
      <w:tr>
        <w:trPr>
          <w:tblHeader w:val="true"/>
        </w:trPr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Version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Date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Nature de la modification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Auteur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1.0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Juillet 2026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Création du document.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[RSSI]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/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/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/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/>
            </w:r>
          </w:p>
        </w:tc>
      </w:tr>
    </w:tbl>
    <w:p>
      <w:pPr>
        <w:pStyle w:val="Heading2"/>
      </w:pPr>
      <w:bookmarkStart w:id="970002" w:name="_Toc7000002"/>
      <w:r>
        <w:rPr>
          <w:rFonts w:ascii="Arial" w:hAnsi="Arial"/>
          <w:b/>
          <w:color w:val="2E75B6"/>
          <w:sz w:val="23"/>
        </w:rPr>
        <w:t>Objet du document</w:t>
      </w:r>
      <w:bookmarkEnd w:id="970002"/>
    </w:p>
    <w:p>
      <w:pPr>
        <w:spacing w:after="120"/>
        <w:jc w:val="both"/>
      </w:pPr>
      <w:r>
        <w:rPr>
          <w:color w:val="222222"/>
          <w:sz w:val="20"/>
        </w:rPr>
        <w:t>Le présent guide explique comment prendre en main le pack documentaire, le personnaliser et le déployer. Il indique l'ordre de lecture des documents, les gestes techniques à accomplir dans Word et Excel avant toute utilisation, les conventions de lecture retenues, et la limite exacte de ce qu'un pack documentaire peut faire à la place d'un organisme. Il se lit avant tout autre document du pack.</w:t>
      </w:r>
    </w:p>
    <w:p>
      <w:pPr>
        <w:pStyle w:val="Normal"/>
        <w:spacing w:before="0" w:after="80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pBdr>
          <w:bottom w:val="single" w:sz="12" w:space="3" w:color="4F9B3E"/>
        </w:pBdr>
        <w:spacing w:before="0" w:after="160"/>
        <w:rPr/>
      </w:pPr>
      <w:r>
        <w:rPr>
          <w:rFonts w:eastAsia="Arial" w:cs="Arial"/>
          <w:b/>
          <w:i w:val="false"/>
          <w:color w:val="1F4E79"/>
          <w:sz w:val="28"/>
        </w:rPr>
        <w:t>Sommaire</w:t>
      </w:r>
    </w:p>
    <w:p>
      <w:pPr>
        <w:pStyle w:val="Normal"/>
        <w:pBdr>
          <w:top w:val="single" w:sz="4" w:space="3" w:color="2E75B6"/>
          <w:left w:val="single" w:sz="20" w:space="3" w:color="2E75B6"/>
          <w:bottom w:val="single" w:sz="4" w:space="3" w:color="2E75B6"/>
          <w:right w:val="single" w:sz="4" w:space="3" w:color="2E75B6"/>
        </w:pBdr>
        <w:shd w:val="clear" w:fill="EAF2FA"/>
        <w:spacing w:before="80" w:after="140"/>
        <w:rPr/>
      </w:pPr>
      <w:r>
        <w:rPr>
          <w:rFonts w:eastAsia="Arial" w:cs="Arial"/>
          <w:b/>
          <w:i w:val="false"/>
          <w:color w:val="1B4C7A"/>
          <w:sz w:val="19"/>
        </w:rPr>
        <w:t>i  Sommaire automatique. Après toute modification : Ctrl+A puis F9 (ou clic droit ▸ « Mettre à jour les champs ») pour actualiser titres et pagination.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2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000000" w:history="1">
            <w:r>
              <w:rPr>
                <w:rStyle w:val="Hyperlink"/>
                <w:noProof/>
              </w:rPr>
              <w:t xml:space="preserve">Cartouche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_Toc7000000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>
          <w:pPr>
            <w:pStyle w:val="TOC2"/>
            <w:rPr>
              <w:noProof/>
            </w:rPr>
          </w:pPr>
          <w:hyperlink w:anchor="_Toc7000001" w:history="1">
            <w:r>
              <w:rPr>
                <w:rStyle w:val="Hyperlink"/>
                <w:noProof/>
              </w:rPr>
              <w:t xml:space="preserve">Historique des révisions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_Toc7000001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>
          <w:pPr>
            <w:pStyle w:val="TOC2"/>
            <w:rPr>
              <w:noProof/>
            </w:rPr>
          </w:pPr>
          <w:hyperlink w:anchor="_Toc7000002" w:history="1">
            <w:r>
              <w:rPr>
                <w:rStyle w:val="Hyperlink"/>
                <w:noProof/>
              </w:rPr>
              <w:t xml:space="preserve">Objet du document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_Toc7000002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>
          <w:pPr>
            <w:pStyle w:val="TOC1"/>
            <w:rPr>
              <w:noProof/>
            </w:rPr>
          </w:pPr>
          <w:hyperlink w:anchor="_Toc7000003" w:history="1">
            <w:r>
              <w:rPr>
                <w:rStyle w:val="Hyperlink"/>
                <w:noProof/>
              </w:rPr>
              <w:t xml:space="preserve">1. Ce que contient le pack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_Toc7000003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>
          <w:pPr>
            <w:pStyle w:val="TOC1"/>
            <w:rPr>
              <w:noProof/>
            </w:rPr>
          </w:pPr>
          <w:hyperlink w:anchor="_Toc7000004" w:history="1">
            <w:r>
              <w:rPr>
                <w:rStyle w:val="Hyperlink"/>
                <w:noProof/>
              </w:rPr>
              <w:t xml:space="preserve">2. Par où commencer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_Toc7000004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>
          <w:pPr>
            <w:pStyle w:val="TOC1"/>
            <w:rPr>
              <w:noProof/>
            </w:rPr>
          </w:pPr>
          <w:hyperlink w:anchor="_Toc7000005" w:history="1">
            <w:r>
              <w:rPr>
                <w:rStyle w:val="Hyperlink"/>
                <w:noProof/>
              </w:rPr>
              <w:t xml:space="preserve">3. Les trois gestes techniques indispensables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_Toc7000005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>
          <w:pPr>
            <w:pStyle w:val="TOC2"/>
            <w:rPr>
              <w:noProof/>
            </w:rPr>
          </w:pPr>
          <w:hyperlink w:anchor="_Toc7000006" w:history="1">
            <w:r>
              <w:rPr>
                <w:rStyle w:val="Hyperlink"/>
                <w:noProof/>
              </w:rPr>
              <w:t xml:space="preserve">3.1 Actualiser les sommaires et la pagination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_Toc7000006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>
          <w:pPr>
            <w:pStyle w:val="TOC2"/>
            <w:rPr>
              <w:noProof/>
            </w:rPr>
          </w:pPr>
          <w:hyperlink w:anchor="_Toc7000007" w:history="1">
            <w:r>
              <w:rPr>
                <w:rStyle w:val="Hyperlink"/>
                <w:noProof/>
              </w:rPr>
              <w:t xml:space="preserve">3.2 Insérer votre identité visuelle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_Toc7000007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>
          <w:pPr>
            <w:pStyle w:val="TOC2"/>
            <w:rPr>
              <w:noProof/>
            </w:rPr>
          </w:pPr>
          <w:hyperlink w:anchor="_Toc7000008" w:history="1">
            <w:r>
              <w:rPr>
                <w:rStyle w:val="Hyperlink"/>
                <w:noProof/>
              </w:rPr>
              <w:t xml:space="preserve">3.3 Traiter tous les champs [À COMPLÉTER]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_Toc7000008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>
          <w:pPr>
            <w:pStyle w:val="TOC1"/>
            <w:rPr>
              <w:noProof/>
            </w:rPr>
          </w:pPr>
          <w:hyperlink w:anchor="_Toc7000009" w:history="1">
            <w:r>
              <w:rPr>
                <w:rStyle w:val="Hyperlink"/>
                <w:noProof/>
              </w:rPr>
              <w:t xml:space="preserve">4. Règles de lecture des documents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_Toc7000009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>
          <w:pPr>
            <w:pStyle w:val="TOC1"/>
            <w:rPr>
              <w:noProof/>
            </w:rPr>
          </w:pPr>
          <w:hyperlink w:anchor="_Toc7000010" w:history="1">
            <w:r>
              <w:rPr>
                <w:rStyle w:val="Hyperlink"/>
                <w:noProof/>
              </w:rPr>
              <w:t xml:space="preserve">5. Ce que le pack ne fait pas à votre place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_Toc7000010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>
          <w:pPr>
            <w:pStyle w:val="TOC1"/>
            <w:rPr>
              <w:noProof/>
            </w:rPr>
          </w:pPr>
          <w:hyperlink w:anchor="_Toc7000011" w:history="1">
            <w:r>
              <w:rPr>
                <w:rStyle w:val="Hyperlink"/>
                <w:noProof/>
              </w:rPr>
              <w:t xml:space="preserve">6. Assistance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_Toc7000011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  <w:r>
            <w:fldChar w:fldCharType="end"/>
          </w:r>
        </w:p>
      </w:sdtContent>
    </w:sdt>
    <w:p>
      <w:pPr>
        <w:pStyle w:val="Normal"/>
        <w:widowControl/>
        <w:bidi w:val="0"/>
        <w:spacing w:lineRule="auto" w:line="268" w:before="0" w:after="120"/>
        <w:jc w:val="left"/>
        <w:rPr>
          <w:rFonts w:ascii="Arial" w:hAnsi="Arial" w:eastAsia="Arial" w:cs="Arial"/>
          <w:color w:val="222222"/>
          <w:sz w:val="20"/>
        </w:rPr>
      </w:pPr>
      <w:r>
        <w:rPr>
          <w:rFonts w:eastAsia="Arial" w:cs="Arial"/>
          <w:color w:val="222222"/>
          <w:sz w:val="20"/>
        </w:rPr>
      </w:r>
      <w:r>
        <w:br w:type="page"/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0" w:after="140"/>
        <w:ind w:left="113"/>
        <w:rPr/>
      </w:pPr>
      <w:bookmarkStart w:id="970003" w:name="_Toc7000003"/>
      <w:bookmarkStart w:id="2" w:name="__RefHeading___Toc474_3757726110"/>
      <w:bookmarkEnd w:id="2"/>
      <w:r>
        <w:rPr>
          <w:rFonts w:eastAsia="Arial" w:cs="Arial" w:ascii="Arial" w:hAnsi="Arial"/>
          <w:b/>
          <w:i w:val="false"/>
          <w:color w:val="1F4E79"/>
          <w:sz w:val="28"/>
        </w:rPr>
        <w:t>1. Ce que contient le pack</w:t>
      </w:r>
      <w:bookmarkEnd w:id="970003"/>
    </w:p>
    <w:p>
      <w:pPr>
        <w:pStyle w:val="Normal"/>
        <w:spacing w:before="0" w:after="120"/>
        <w:jc w:val="both"/>
        <w:rPr/>
      </w:pPr>
      <w:r>
        <w:rPr>
          <w:rFonts w:eastAsia="Arial" w:cs="Arial"/>
          <w:b w:val="false"/>
          <w:i w:val="false"/>
          <w:color w:val="222222"/>
          <w:sz w:val="20"/>
        </w:rPr>
        <w:t>Le pack SMSI ISO/IEC 27001:2022 constitue un système documentaire complet et cohérent : manuel, politique, cartographie, fiches processus, procédures, registres, formulaires, logigrammes, Déclaration d'Applicabilité et feuille de route de certification.</w:t>
      </w:r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3008"/>
        <w:gridCol w:w="3009"/>
        <w:gridCol w:w="3009"/>
      </w:tblGrid>
      <w:tr>
        <w:trPr>
          <w:tblHeader w:val="true"/>
        </w:trPr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Dossier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Contenu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Nature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00_Guides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Guide d'utilisation, guide de personnalisation, guide des logigrammes et de leur modification, lexique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Documents d'accompagnement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01_Gouvernance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Politique, cartographie des processus, contexte et parties intéressées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Niveau stratégique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02_Fiches_Processus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Les 12 fiches processus au format 13 sections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Niveau organisationnel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03_Procedures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Les 20 procédures documentées du SMSI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Niveau organisationnel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04_Formulaires_Registres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</w:r>
            <w:r>
              <w:rPr>
                <w:color w:val="1C2634"/>
                <w:sz w:val="19"/>
              </w:rPr>
              <w:t>22 registres Excel outillés et 16 formulaires Word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Niveau preuve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06_Matrice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</w:r>
            <w:r>
              <w:rPr>
                <w:color w:val="1C2634"/>
                <w:sz w:val="19"/>
              </w:rPr>
              <w:t>Déclaration d'Applicabilité SOA-SI-001 (93 mesures), matrice de correspondance des normes et matrice des référentiels internationaux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Niveau preuve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07_Manuel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Manuel du SMSI, structuré clause par clause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Niveau stratégique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08_Guide_Mise_en_Oeuvre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</w:r>
            <w:r>
              <w:rPr>
                <w:color w:val="1C2634"/>
                <w:sz w:val="19"/>
              </w:rPr>
              <w:t>Feuille de route de déploiement et de certification, plan des objectifs de sécurité, lexique quadrilingue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Pilotage de projet</w:t>
            </w:r>
          </w:p>
        </w:tc>
      </w:tr>
      <w:tr>
        <w:trPr/>
        <w:tc>
          <w:tcPr>
            <w:tcW w:w="3008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</w:r>
            <w:r>
              <w:rPr>
                <w:color w:val="1C2634"/>
                <w:sz w:val="19"/>
              </w:rPr>
              <w:t>09_Conformite_Regionale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</w:r>
            <w:r>
              <w:rPr>
                <w:color w:val="1C2634"/>
                <w:sz w:val="19"/>
              </w:rPr>
            </w:r>
            <w:r>
              <w:rPr>
                <w:color w:val="1C2634"/>
                <w:sz w:val="19"/>
              </w:rPr>
              <w:t>Guide de conformité régionale, registres des exigences légales Union européenne, États-Unis, Canada et Amérique latine, correspondance NIST CSF 2.0 / SOC 2 / NIS2, annexe des délais de notification</w:t>
            </w:r>
          </w:p>
        </w:tc>
        <w:tc>
          <w:tcPr>
            <w:tcW w:w="3009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</w:r>
            <w:r>
              <w:rPr>
                <w:color w:val="1C2634"/>
                <w:sz w:val="19"/>
              </w:rPr>
              <w:t>Niveau preuve</w:t>
            </w:r>
          </w:p>
        </w:tc>
      </w:tr>
    </w:tbl>
    <w:p>
      <w:pPr>
        <w:pStyle w:val="Normal"/>
        <w:spacing w:before="0" w:after="80"/>
        <w:rPr/>
      </w:pPr>
      <w:r>
        <w:rPr/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bookmarkStart w:id="970004" w:name="_Toc7000004"/>
      <w:bookmarkStart w:id="3" w:name="__RefHeading___Toc476_3757726110"/>
      <w:bookmarkEnd w:id="3"/>
      <w:r>
        <w:rPr>
          <w:rFonts w:eastAsia="Arial" w:cs="Arial" w:ascii="Arial" w:hAnsi="Arial"/>
          <w:b/>
          <w:i w:val="false"/>
          <w:color w:val="1F4E79"/>
          <w:sz w:val="28"/>
        </w:rPr>
        <w:t>2. Par où commencer</w:t>
      </w:r>
      <w:bookmarkEnd w:id="970004"/>
    </w:p>
    <w:p>
      <w:pPr>
        <w:pStyle w:val="Normal"/>
        <w:spacing w:before="0" w:after="120"/>
        <w:jc w:val="both"/>
        <w:rPr/>
      </w:pPr>
      <w:r>
        <w:rPr>
          <w:rFonts w:eastAsia="Arial" w:cs="Arial"/>
          <w:b w:val="false"/>
          <w:i w:val="false"/>
          <w:color w:val="222222"/>
          <w:sz w:val="20"/>
        </w:rPr>
        <w:t>L'ordre de prise en main compte. Aborder le pack document par document, dans l'ordre des dossiers, est la meilleure façon de perdre du temps. La séquence ci-dessous suit la logique de construction du système.</w:t>
      </w:r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2256"/>
        <w:gridCol w:w="2257"/>
        <w:gridCol w:w="2256"/>
        <w:gridCol w:w="2256"/>
      </w:tblGrid>
      <w:tr>
        <w:trPr>
          <w:tblHeader w:val="true"/>
        </w:trPr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Étape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Document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Ce que vous produisez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Durée indicative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MAN-SI-001 (lecture)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Une vision d'ensemble des exigences et du système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2 heures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2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F-SI-001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Votre analyse de contexte et vos parties intéressées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 à 2 jours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3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MAN-SI-001 §4.3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Votre périmètre de certification, écrit noir sur blanc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0,5 jour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4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PO-SI-001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Votre politique, approuvée et communiquée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 jour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5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S-ACT-001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Votre inventaire d'actifs classifiés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3 à 5 jours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6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S-RIS-001 + PR-RIS-001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Votre appréciation des risques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3 à 5 jours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7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SOA-SI-001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Votre Déclaration d'Applicabilité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2 à 3 jours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8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P-RIS-001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Votre plan de traitement du risque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 jour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9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Procédures et registres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Le déploiement opérationnel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3 à 9 mois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10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P-AUD-001 + F-AUD-001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Vos audits internes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Selon programme</w:t>
            </w:r>
          </w:p>
        </w:tc>
      </w:tr>
      <w:tr>
        <w:trPr/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11</w:t>
            </w:r>
          </w:p>
        </w:tc>
        <w:tc>
          <w:tcPr>
            <w:tcW w:w="2257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F-DIR-001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Votre revue de direction</w:t>
            </w:r>
          </w:p>
        </w:tc>
        <w:tc>
          <w:tcPr>
            <w:tcW w:w="2256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1 jour</w:t>
            </w:r>
          </w:p>
        </w:tc>
      </w:tr>
    </w:tbl>
    <w:p>
      <w:pPr>
        <w:pStyle w:val="Normal"/>
        <w:spacing w:before="0" w:after="80"/>
        <w:rPr/>
      </w:pPr>
      <w:r>
        <w:rPr/>
      </w:r>
    </w:p>
    <w:p>
      <w:pPr>
        <w:pStyle w:val="Normal"/>
        <w:pBdr>
          <w:top w:val="single" w:sz="4" w:space="3" w:color="C0392B"/>
          <w:left w:val="single" w:sz="20" w:space="3" w:color="C0392B"/>
          <w:bottom w:val="single" w:sz="4" w:space="3" w:color="C0392B"/>
          <w:right w:val="single" w:sz="4" w:space="3" w:color="C0392B"/>
        </w:pBdr>
        <w:shd w:val="clear" w:fill="FBEAE8"/>
        <w:spacing w:before="80" w:after="140"/>
        <w:rPr/>
      </w:pPr>
      <w:r>
        <w:rPr>
          <w:rFonts w:eastAsia="Arial" w:cs="Arial"/>
          <w:b/>
          <w:i w:val="false"/>
          <w:color w:val="8E2A20"/>
          <w:sz w:val="19"/>
        </w:rPr>
        <w:t>!  Les étapes 2 à 8 constituent le cœur du système. Un organisme qui les traite sérieusement obtient sa certification ; un organisme qui les survole pour se concentrer sur la mise en forme des procédures échoue.</w:t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bookmarkStart w:id="970005" w:name="_Toc7000005"/>
      <w:bookmarkStart w:id="4" w:name="__RefHeading___Toc478_3757726110"/>
      <w:bookmarkEnd w:id="4"/>
      <w:r>
        <w:rPr>
          <w:rFonts w:eastAsia="Arial" w:cs="Arial" w:ascii="Arial" w:hAnsi="Arial"/>
          <w:b/>
          <w:i w:val="false"/>
          <w:color w:val="1F4E79"/>
          <w:sz w:val="28"/>
        </w:rPr>
        <w:t>3. Les trois gestes techniques indispensables</w:t>
      </w:r>
      <w:bookmarkEnd w:id="970005"/>
    </w:p>
    <w:p>
      <w:pPr>
        <w:pStyle w:val="Heading2"/>
        <w:spacing w:before="200" w:after="100"/>
        <w:rPr/>
      </w:pPr>
      <w:bookmarkStart w:id="970006" w:name="_Toc7000006"/>
      <w:bookmarkStart w:id="5" w:name="__RefHeading___Toc480_3757726110"/>
      <w:bookmarkEnd w:id="5"/>
      <w:r>
        <w:rPr>
          <w:rFonts w:eastAsia="Arial" w:cs="Arial" w:ascii="Arial" w:hAnsi="Arial"/>
          <w:b/>
          <w:i w:val="false"/>
          <w:color w:val="2E75B6"/>
          <w:sz w:val="23"/>
        </w:rPr>
        <w:t>3.1 Actualiser les sommaires et la pagination</w:t>
      </w:r>
      <w:bookmarkEnd w:id="970006"/>
    </w:p>
    <w:p>
      <w:pPr>
        <w:pStyle w:val="Normal"/>
        <w:spacing w:before="0" w:after="120"/>
        <w:jc w:val="both"/>
        <w:rPr/>
      </w:pPr>
      <w:r>
        <w:rPr>
          <w:rFonts w:eastAsia="Arial" w:cs="Arial"/>
          <w:b w:val="false"/>
          <w:i w:val="false"/>
          <w:color w:val="222222"/>
          <w:sz w:val="20"/>
        </w:rPr>
        <w:t>Ouvrez chaque document Word, faites Ctrl+A puis F9. Choisissez « Mettre à jour toute la table » si la question est posée. À faire après chaque modification substantielle.</w:t>
      </w:r>
    </w:p>
    <w:p>
      <w:pPr>
        <w:pStyle w:val="Heading2"/>
        <w:spacing w:before="200" w:after="100"/>
        <w:rPr/>
      </w:pPr>
      <w:bookmarkStart w:id="970007" w:name="_Toc7000007"/>
      <w:bookmarkStart w:id="6" w:name="__RefHeading___Toc482_3757726110"/>
      <w:bookmarkEnd w:id="6"/>
      <w:r>
        <w:rPr>
          <w:rFonts w:eastAsia="Arial" w:cs="Arial" w:ascii="Arial" w:hAnsi="Arial"/>
          <w:b/>
          <w:i w:val="false"/>
          <w:color w:val="2E75B6"/>
          <w:sz w:val="23"/>
        </w:rPr>
        <w:t>3.2 Insérer votre identité visuelle</w:t>
      </w:r>
      <w:bookmarkEnd w:id="970007"/>
    </w:p>
    <w:p>
      <w:pPr>
        <w:pStyle w:val="Normal"/>
        <w:spacing w:before="0" w:after="120"/>
        <w:jc w:val="both"/>
        <w:rPr/>
      </w:pPr>
      <w:r>
        <w:rPr>
          <w:rFonts w:eastAsia="Arial" w:cs="Arial"/>
          <w:b w:val="false"/>
          <w:i w:val="false"/>
          <w:color w:val="222222"/>
          <w:sz w:val="20"/>
        </w:rPr>
        <w:t>L'en-tête de chaque document comporte à gauche un cadre en pointillés prévu pour votre logo, et la mention [Nom organisation]. Remplacez l'un et l'autre. Le bandeau de la page de garde comporte également un emplacement [LOGO CLIENT].</w:t>
      </w:r>
    </w:p>
    <w:p>
      <w:pPr>
        <w:pStyle w:val="Heading2"/>
        <w:spacing w:before="200" w:after="100"/>
        <w:rPr/>
      </w:pPr>
      <w:bookmarkStart w:id="970008" w:name="_Toc7000008"/>
      <w:bookmarkStart w:id="7" w:name="__RefHeading___Toc484_3757726110"/>
      <w:bookmarkEnd w:id="7"/>
      <w:r>
        <w:rPr>
          <w:rFonts w:eastAsia="Arial" w:cs="Arial" w:ascii="Arial" w:hAnsi="Arial"/>
          <w:b/>
          <w:i w:val="false"/>
          <w:color w:val="2E75B6"/>
          <w:sz w:val="23"/>
        </w:rPr>
        <w:t>3.3 Traiter tous les champs [À COMPLÉTER]</w:t>
      </w:r>
      <w:bookmarkEnd w:id="970008"/>
    </w:p>
    <w:p>
      <w:pPr>
        <w:pStyle w:val="Normal"/>
        <w:spacing w:before="0" w:after="120"/>
        <w:jc w:val="both"/>
        <w:rPr/>
      </w:pPr>
      <w:r>
        <w:rPr>
          <w:rFonts w:eastAsia="Arial" w:cs="Arial"/>
          <w:b w:val="false"/>
          <w:i w:val="false"/>
          <w:color w:val="222222"/>
          <w:sz w:val="20"/>
        </w:rPr>
        <w:t>Ces champs signalent une information propre à votre organisme, qu'aucun modèle ne peut fournir. Utilisez la fonction de recherche de Word et d'Excel pour les repérer systématiquement. Un champ [À COMPLÉTER] oublié dans un document présenté à l'auditeur discrédite l'ensemble du système.</w:t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bookmarkStart w:id="970009" w:name="_Toc7000009"/>
      <w:bookmarkStart w:id="8" w:name="__RefHeading___Toc486_3757726110"/>
      <w:bookmarkEnd w:id="8"/>
      <w:r>
        <w:rPr>
          <w:rFonts w:eastAsia="Arial" w:cs="Arial" w:ascii="Arial" w:hAnsi="Arial"/>
          <w:b/>
          <w:i w:val="false"/>
          <w:color w:val="1F4E79"/>
          <w:sz w:val="28"/>
        </w:rPr>
        <w:t>4. Règles de lecture des documents</w:t>
      </w:r>
      <w:bookmarkEnd w:id="970009"/>
    </w:p>
    <w:tbl>
      <w:tblPr>
        <w:tblW w:w="9026" w:type="dxa"/>
        <w:jc w:val="left"/>
        <w:tblInd w:w="0" w:type="dxa"/>
        <w:tblLayout w:type="fixed"/>
        <w:tblCellMar>
          <w:top w:w="70" w:type="dxa"/>
          <w:left w:w="105" w:type="dxa"/>
          <w:bottom w:w="70" w:type="dxa"/>
          <w:right w:w="105" w:type="dxa"/>
        </w:tblCellMar>
        <w:tblLook w:val="04a0" w:noHBand="0" w:noVBand="1" w:firstColumn="1" w:lastRow="0" w:lastColumn="0" w:firstRow="1"/>
      </w:tblPr>
      <w:tblGrid>
        <w:gridCol w:w="4513"/>
        <w:gridCol w:w="4512"/>
      </w:tblGrid>
      <w:tr>
        <w:trPr>
          <w:tblHeader w:val="true"/>
        </w:trPr>
        <w:tc>
          <w:tcPr>
            <w:tcW w:w="4513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Élément visuel</w:t>
            </w:r>
          </w:p>
        </w:tc>
        <w:tc>
          <w:tcPr>
            <w:tcW w:w="4512" w:type="dxa"/>
            <w:tcBorders>
              <w:top w:val="single" w:sz="2" w:space="0" w:color="BFBFBF"/>
              <w:left w:val="single" w:sz="2" w:space="0" w:color="D9D9D9"/>
              <w:bottom w:val="single" w:sz="8" w:space="0" w:color="4F9B3E"/>
              <w:right w:val="single" w:sz="2" w:space="0" w:color="D9D9D9"/>
            </w:tcBorders>
            <w:shd w:fill="1F4E79" w:val="clear"/>
            <w:vAlign w:val="center"/>
          </w:tcPr>
          <w:p>
            <w:pPr>
              <w:pStyle w:val="Normal"/>
              <w:spacing w:before="20" w:after="20"/>
              <w:jc w:val="center"/>
              <w:rPr/>
            </w:pPr>
            <w:r>
              <w:rPr>
                <w:rFonts w:eastAsia="Arial" w:cs="Arial"/>
                <w:b/>
                <w:i w:val="false"/>
                <w:color w:val="FFFFFF"/>
                <w:sz w:val="19"/>
              </w:rPr>
              <w:t>Signification</w:t>
            </w:r>
          </w:p>
        </w:tc>
      </w:tr>
      <w:tr>
        <w:trPr/>
        <w:tc>
          <w:tcPr>
            <w:tcW w:w="4513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Bandeau bleu marine en tête de page de garde</w:t>
            </w:r>
          </w:p>
        </w:tc>
        <w:tc>
          <w:tcPr>
            <w:tcW w:w="4512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Type et titre du document</w:t>
            </w:r>
          </w:p>
        </w:tc>
      </w:tr>
      <w:tr>
        <w:trPr/>
        <w:tc>
          <w:tcPr>
            <w:tcW w:w="4513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Encadré orange ⚑</w:t>
            </w:r>
          </w:p>
        </w:tc>
        <w:tc>
          <w:tcPr>
            <w:tcW w:w="4512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Point de vigilance ou champ à compléter</w:t>
            </w:r>
          </w:p>
        </w:tc>
      </w:tr>
      <w:tr>
        <w:trPr/>
        <w:tc>
          <w:tcPr>
            <w:tcW w:w="4513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Encadré rouge !</w:t>
            </w:r>
          </w:p>
        </w:tc>
        <w:tc>
          <w:tcPr>
            <w:tcW w:w="4512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Erreur classique, cause fréquente de non-conformité en audit</w:t>
            </w:r>
          </w:p>
        </w:tc>
      </w:tr>
      <w:tr>
        <w:trPr/>
        <w:tc>
          <w:tcPr>
            <w:tcW w:w="4513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Encadré bleu i</w:t>
            </w:r>
          </w:p>
        </w:tc>
        <w:tc>
          <w:tcPr>
            <w:tcW w:w="4512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Information complémentaire ou précision méthodologique</w:t>
            </w:r>
          </w:p>
        </w:tc>
      </w:tr>
      <w:tr>
        <w:trPr/>
        <w:tc>
          <w:tcPr>
            <w:tcW w:w="4513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Encadré vert ✦</w:t>
            </w:r>
          </w:p>
        </w:tc>
        <w:tc>
          <w:tcPr>
            <w:tcW w:w="4512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Conseil de mise en œuvre issu de la pratique</w:t>
            </w:r>
          </w:p>
        </w:tc>
      </w:tr>
      <w:tr>
        <w:trPr/>
        <w:tc>
          <w:tcPr>
            <w:tcW w:w="4513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§x.y</w:t>
            </w:r>
          </w:p>
        </w:tc>
        <w:tc>
          <w:tcPr>
            <w:tcW w:w="4512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Clause de l'ISO/IEC 27001:2022</w:t>
            </w:r>
          </w:p>
        </w:tc>
      </w:tr>
      <w:tr>
        <w:trPr/>
        <w:tc>
          <w:tcPr>
            <w:tcW w:w="4513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A.x.y</w:t>
            </w:r>
          </w:p>
        </w:tc>
        <w:tc>
          <w:tcPr>
            <w:tcW w:w="4512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FFFFF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Mesure de l'Annexe A, détaillée dans la SOA-SI-001</w:t>
            </w:r>
          </w:p>
        </w:tc>
      </w:tr>
      <w:tr>
        <w:trPr/>
        <w:tc>
          <w:tcPr>
            <w:tcW w:w="4513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[Texte entre crochets]</w:t>
            </w:r>
          </w:p>
        </w:tc>
        <w:tc>
          <w:tcPr>
            <w:tcW w:w="4512" w:type="dxa"/>
            <w:tcBorders>
              <w:top w:val="single" w:sz="2" w:space="0" w:color="BFBFBF"/>
              <w:left w:val="single" w:sz="2" w:space="0" w:color="D9D9D9"/>
              <w:bottom w:val="single" w:sz="2" w:space="0" w:color="BFBFBF"/>
              <w:right w:val="single" w:sz="2" w:space="0" w:color="D9D9D9"/>
            </w:tcBorders>
            <w:shd w:fill="F7FAFD" w:val="clear"/>
            <w:vAlign w:val="center"/>
          </w:tcPr>
          <w:p>
            <w:pPr>
              <w:pStyle w:val="Normal"/>
              <w:spacing w:before="20" w:after="20"/>
              <w:rPr/>
            </w:pPr>
            <w:r>
              <w:rPr>
                <w:rFonts w:eastAsia="Arial" w:cs="Arial"/>
                <w:b w:val="false"/>
                <w:i w:val="false"/>
                <w:color w:val="1C2634"/>
                <w:sz w:val="19"/>
              </w:rPr>
              <w:t>Champ à personnaliser</w:t>
            </w:r>
          </w:p>
        </w:tc>
      </w:tr>
    </w:tbl>
    <w:p>
      <w:pPr>
        <w:pStyle w:val="Normal"/>
        <w:spacing w:before="0" w:after="80"/>
        <w:rPr/>
      </w:pPr>
      <w:r>
        <w:rPr/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bookmarkStart w:id="970010" w:name="_Toc7000010"/>
      <w:bookmarkStart w:id="9" w:name="__RefHeading___Toc488_3757726110"/>
      <w:bookmarkEnd w:id="9"/>
      <w:r>
        <w:rPr>
          <w:rFonts w:eastAsia="Arial" w:cs="Arial" w:ascii="Arial" w:hAnsi="Arial"/>
          <w:b/>
          <w:i w:val="false"/>
          <w:color w:val="1F4E79"/>
          <w:sz w:val="28"/>
        </w:rPr>
        <w:t>5. Ce que le pack ne fait pas à votre place</w:t>
      </w:r>
      <w:bookmarkEnd w:id="970010"/>
    </w:p>
    <w:p>
      <w:pPr>
        <w:pStyle w:val="Normal"/>
        <w:spacing w:before="0" w:after="40"/>
        <w:ind w:hanging="198" w:left="283"/>
        <w:rPr/>
      </w:pPr>
      <w:r>
        <w:rPr>
          <w:rFonts w:eastAsia="Arial" w:cs="Arial"/>
          <w:b w:val="false"/>
          <w:i w:val="false"/>
          <w:color w:val="4F9B3E"/>
          <w:sz w:val="18"/>
        </w:rPr>
        <w:t xml:space="preserve">▪  </w:t>
      </w:r>
      <w:r>
        <w:rPr>
          <w:rFonts w:eastAsia="Arial" w:cs="Arial"/>
          <w:b w:val="false"/>
          <w:i w:val="false"/>
          <w:color w:val="222222"/>
          <w:sz w:val="20"/>
        </w:rPr>
        <w:t>Déterminer votre périmètre de certification : c'est une décision de direction, qui figurera telle quelle sur votre certificat.</w:t>
      </w:r>
    </w:p>
    <w:p>
      <w:pPr>
        <w:pStyle w:val="Normal"/>
        <w:spacing w:before="0" w:after="40"/>
        <w:ind w:hanging="198" w:left="283"/>
        <w:rPr/>
      </w:pPr>
      <w:r>
        <w:rPr>
          <w:rFonts w:eastAsia="Arial" w:cs="Arial"/>
          <w:b w:val="false"/>
          <w:i w:val="false"/>
          <w:color w:val="4F9B3E"/>
          <w:sz w:val="18"/>
        </w:rPr>
        <w:t xml:space="preserve">▪  </w:t>
      </w:r>
      <w:r>
        <w:rPr>
          <w:rFonts w:eastAsia="Arial" w:cs="Arial"/>
          <w:b w:val="false"/>
          <w:i w:val="false"/>
          <w:color w:val="222222"/>
          <w:sz w:val="20"/>
        </w:rPr>
        <w:t>Apprécier vos risques réels : les scénarios fournis sont des exemples sectoriels, pas votre cartographie des risques.</w:t>
      </w:r>
    </w:p>
    <w:p>
      <w:pPr>
        <w:pStyle w:val="Normal"/>
        <w:spacing w:before="0" w:after="40"/>
        <w:ind w:hanging="198" w:left="283"/>
        <w:rPr/>
      </w:pPr>
      <w:r>
        <w:rPr>
          <w:rFonts w:eastAsia="Arial" w:cs="Arial"/>
          <w:b w:val="false"/>
          <w:i w:val="false"/>
          <w:color w:val="4F9B3E"/>
          <w:sz w:val="18"/>
        </w:rPr>
        <w:t xml:space="preserve">▪  </w:t>
      </w:r>
      <w:r>
        <w:rPr>
          <w:rFonts w:eastAsia="Arial" w:cs="Arial"/>
          <w:b w:val="false"/>
          <w:i w:val="false"/>
          <w:color w:val="222222"/>
          <w:sz w:val="20"/>
        </w:rPr>
        <w:t>Justifier vos exclusions dans la Déclaration d'Applicabilité : chaque justification doit être argumentée et vérifiable.</w:t>
      </w:r>
    </w:p>
    <w:p>
      <w:pPr>
        <w:pStyle w:val="Normal"/>
        <w:spacing w:before="0" w:after="40"/>
        <w:ind w:hanging="198" w:left="283"/>
        <w:rPr/>
      </w:pPr>
      <w:r>
        <w:rPr>
          <w:rFonts w:eastAsia="Arial" w:cs="Arial"/>
          <w:b w:val="false"/>
          <w:i w:val="false"/>
          <w:color w:val="4F9B3E"/>
          <w:sz w:val="18"/>
        </w:rPr>
        <w:t xml:space="preserve">▪  </w:t>
      </w:r>
      <w:r>
        <w:rPr>
          <w:rFonts w:eastAsia="Arial" w:cs="Arial"/>
          <w:b w:val="false"/>
          <w:i w:val="false"/>
          <w:color w:val="222222"/>
          <w:sz w:val="20"/>
        </w:rPr>
        <w:t>Mettre en œuvre les mesures techniques : le pack décrit le système de management, il ne configure pas vos serveurs.</w:t>
      </w:r>
    </w:p>
    <w:p>
      <w:pPr>
        <w:pStyle w:val="Normal"/>
        <w:spacing w:before="0" w:after="40"/>
        <w:ind w:hanging="198" w:left="283"/>
        <w:rPr/>
      </w:pPr>
      <w:r>
        <w:rPr>
          <w:rFonts w:eastAsia="Arial" w:cs="Arial"/>
          <w:b w:val="false"/>
          <w:i w:val="false"/>
          <w:color w:val="4F9B3E"/>
          <w:sz w:val="18"/>
        </w:rPr>
        <w:t xml:space="preserve">▪  </w:t>
      </w:r>
      <w:r>
        <w:rPr>
          <w:rFonts w:eastAsia="Arial" w:cs="Arial"/>
          <w:b w:val="false"/>
          <w:i w:val="false"/>
          <w:color w:val="222222"/>
          <w:sz w:val="20"/>
        </w:rPr>
        <w:t>Produire vos enregistrements : les registres sont des outils, ce sont vos données qui font la preuve.</w:t>
      </w:r>
    </w:p>
    <w:p>
      <w:pPr>
        <w:pStyle w:val="Normal"/>
        <w:spacing w:before="0" w:after="40"/>
        <w:ind w:hanging="198" w:left="283"/>
        <w:rPr/>
      </w:pPr>
      <w:r>
        <w:rPr>
          <w:rFonts w:eastAsia="Arial" w:cs="Arial"/>
          <w:b w:val="false"/>
          <w:i w:val="false"/>
          <w:color w:val="4F9B3E"/>
          <w:sz w:val="18"/>
        </w:rPr>
        <w:t xml:space="preserve">▪  </w:t>
      </w:r>
      <w:r>
        <w:rPr>
          <w:rFonts w:eastAsia="Arial" w:cs="Arial"/>
          <w:b w:val="false"/>
          <w:i w:val="false"/>
          <w:color w:val="222222"/>
          <w:sz w:val="20"/>
        </w:rPr>
        <w:t>Créer l'engagement de votre direction et l'adhésion de vos équipes : c'est le facteur numéro un de réussite, et il ne se documente pas.</w:t>
      </w:r>
    </w:p>
    <w:p>
      <w:pPr>
        <w:pStyle w:val="Normal"/>
        <w:pBdr>
          <w:top w:val="single" w:sz="4" w:space="3" w:color="F5A623"/>
          <w:left w:val="single" w:sz="20" w:space="3" w:color="F5A623"/>
          <w:bottom w:val="single" w:sz="4" w:space="3" w:color="F5A623"/>
          <w:right w:val="single" w:sz="4" w:space="3" w:color="F5A623"/>
        </w:pBdr>
        <w:shd w:val="clear" w:fill="FDF0D5"/>
        <w:spacing w:before="80" w:after="140"/>
        <w:rPr/>
      </w:pPr>
      <w:r>
        <w:rPr>
          <w:rFonts w:eastAsia="Arial" w:cs="Arial"/>
          <w:b/>
          <w:i w:val="false"/>
          <w:color w:val="8A5A00"/>
          <w:sz w:val="19"/>
        </w:rPr>
        <w:t xml:space="preserve">⚑  </w:t>
      </w:r>
      <w:r>
        <w:rPr>
          <w:rFonts w:eastAsia="Arial" w:cs="Arial"/>
          <w:b/>
          <w:i w:val="false"/>
          <w:color w:val="8A5A00"/>
          <w:sz w:val="19"/>
        </w:rPr>
        <w:t>Un système documentaire recopié sans appropriation se repère immédiatement en audit : l'auditeur interroge les opérationnels, pas les documents. La question « montrez-moi comment vous faites » n'a jamais eu de réponse écrite.</w:t>
      </w:r>
    </w:p>
    <w:p>
      <w:pPr>
        <w:pStyle w:val="Heading1"/>
        <w:pBdr>
          <w:left w:val="single" w:sz="24" w:space="3" w:color="4F9B3E"/>
          <w:bottom w:val="single" w:sz="6" w:space="3" w:color="E0EBF7"/>
        </w:pBdr>
        <w:shd w:val="clear" w:fill="F7FAFD"/>
        <w:spacing w:before="260" w:after="140"/>
        <w:ind w:left="113"/>
        <w:rPr/>
      </w:pPr>
      <w:bookmarkStart w:id="970011" w:name="_Toc7000011"/>
      <w:bookmarkStart w:id="10" w:name="__RefHeading___Toc490_3757726110"/>
      <w:bookmarkEnd w:id="10"/>
      <w:r>
        <w:rPr>
          <w:rFonts w:eastAsia="Arial" w:cs="Arial" w:ascii="Arial" w:hAnsi="Arial"/>
          <w:b/>
          <w:i w:val="false"/>
          <w:color w:val="1F4E79"/>
          <w:sz w:val="28"/>
        </w:rPr>
        <w:t>6. Assistance</w:t>
      </w:r>
      <w:bookmarkEnd w:id="970011"/>
    </w:p>
    <w:p>
      <w:pPr>
        <w:pStyle w:val="Normal"/>
        <w:spacing w:before="0" w:after="120"/>
        <w:jc w:val="both"/>
        <w:rPr/>
      </w:pPr>
      <w:r>
        <w:rPr>
          <w:rFonts w:eastAsia="Arial" w:cs="Arial"/>
          <w:b w:val="false"/>
          <w:i w:val="false"/>
          <w:color w:val="222222"/>
          <w:sz w:val="20"/>
        </w:rPr>
        <w:t>Ce pack est édité par Hub Engineering Management Consulting. Pour un accompagnement à la mise en oeuvre, un audit à blanc ou une adaptation sectorielle : contact@hem-consulting.com — hem-consulting.com</w:t>
      </w:r>
    </w:p>
    <w:p>
      <w:pPr>
        <w:spacing w:after="120"/>
        <w:jc w:val="both"/>
      </w:pPr>
      <w:r>
        <w:rPr>
          <w:color w:val="222222"/>
          <w:sz w:val="20"/>
        </w:rPr>
        <w:t>Un problème rencontré avec le pack lui-même — contenu, fichier illisible, incohérence normative, erreur de traduction, renvoi vers un document inexistant — se signale au moyen de la fiche SUP-001 placée à la racine du pack. Renseignez-la et retournez-la à contact@hem-consulting.com : chaque signalement fondé donne lieu à une correction diffusée dans une version mise à jour du produit.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080" w:right="1080" w:gutter="0" w:header="561" w:top="1502" w:footer="459" w:bottom="120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Courier">
    <w:altName w:val="Courier New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6" w:space="3" w:color="BFBFBF"/>
      </w:pBdr>
      <w:spacing w:before="0" w:after="0"/>
      <w:rPr/>
    </w:pPr>
    <w:r>
      <w:rPr/>
    </w:r>
  </w:p>
  <w:p>
    <w:pPr>
      <w:pStyle w:val="Normal"/>
      <w:spacing w:before="40" w:after="0"/>
      <w:jc w:val="center"/>
      <w:rPr/>
    </w:pPr>
    <w:r>
      <w:rPr>
        <w:rFonts w:eastAsia="Arial" w:cs="Arial"/>
        <w:b w:val="false"/>
        <w:i w:val="false"/>
        <w:color w:val="606A78"/>
        <w:sz w:val="16"/>
      </w:rPr>
      <w:t xml:space="preserve">GUI-SI-001 · Confidentiel · hem-consulting.com · 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  <w:r>
      <w:rPr>
        <w:rFonts w:eastAsia="Arial" w:cs="Arial"/>
        <w:b w:val="false"/>
        <w:i w:val="false"/>
        <w:color w:val="606A78"/>
        <w:sz w:val="16"/>
      </w:rPr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6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6" w:space="3" w:color="BFBFBF"/>
      </w:pBdr>
      <w:spacing w:before="0" w:after="0"/>
      <w:rPr/>
    </w:pPr>
    <w:r>
      <w:rPr/>
    </w:r>
  </w:p>
  <w:p>
    <w:pPr>
      <w:pStyle w:val="Normal"/>
      <w:spacing w:before="40" w:after="0"/>
      <w:jc w:val="center"/>
      <w:rPr/>
    </w:pPr>
    <w:r>
      <w:rPr>
        <w:rFonts w:eastAsia="Arial" w:cs="Arial"/>
        <w:b w:val="false"/>
        <w:i w:val="false"/>
        <w:color w:val="606A78"/>
        <w:sz w:val="16"/>
      </w:rPr>
      <w:t xml:space="preserve">GUI-SI-001 · Confidentiel · hem-consulting.com · 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  <w:r>
      <w:rPr>
        <w:rFonts w:eastAsia="Arial" w:cs="Arial"/>
        <w:b w:val="false"/>
        <w:i w:val="false"/>
        <w:color w:val="606A78"/>
        <w:sz w:val="16"/>
      </w:rPr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6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026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4a0" w:noHBand="0" w:noVBand="1" w:firstColumn="1" w:lastRow="0" w:lastColumn="0" w:firstRow="1"/>
    </w:tblPr>
    <w:tblGrid>
      <w:gridCol w:w="4964"/>
      <w:gridCol w:w="4061"/>
    </w:tblGrid>
    <w:tr>
      <w:trPr/>
      <w:tc>
        <w:tcPr>
          <w:tcW w:w="4964" w:type="dxa"/>
          <w:tcBorders/>
        </w:tcPr>
        <w:p>
          <w:pPr>
            <w:pStyle w:val="Normal"/>
            <w:pBdr>
              <w:top w:val="dashed" w:sz="4" w:space="3" w:color="2E75B6"/>
              <w:left w:val="dashed" w:sz="4" w:space="3" w:color="2E75B6"/>
              <w:bottom w:val="dashed" w:sz="4" w:space="3" w:color="2E75B6"/>
              <w:right w:val="dashed" w:sz="4" w:space="3" w:color="2E75B6"/>
            </w:pBdr>
            <w:spacing w:before="0" w:after="0"/>
            <w:rPr/>
          </w:pPr>
          <w:r>
            <w:rPr>
              <w:rFonts w:eastAsia="Arial" w:cs="Arial"/>
              <w:b w:val="false"/>
              <w:i/>
              <w:color w:val="606A78"/>
              <w:sz w:val="18"/>
            </w:rPr>
            <w:t>[Votre Logo Ici]</w:t>
          </w:r>
        </w:p>
        <w:p>
          <w:pPr>
            <w:pStyle w:val="Normal"/>
            <w:spacing w:before="0" w:after="0"/>
            <w:rPr/>
          </w:pPr>
          <w:r>
            <w:rPr>
              <w:rFonts w:eastAsia="Arial" w:cs="Arial"/>
              <w:b w:val="false"/>
              <w:i/>
              <w:color w:val="606A78"/>
              <w:sz w:val="18"/>
            </w:rPr>
            <w:t>[Nom organisation]</w:t>
          </w:r>
        </w:p>
      </w:tc>
      <w:tc>
        <w:tcPr>
          <w:tcW w:w="4061" w:type="dxa"/>
          <w:tcBorders/>
        </w:tcPr>
        <w:p>
          <w:pPr>
            <w:pStyle w:val="Normal"/>
            <w:spacing w:before="0" w:after="0"/>
            <w:jc w:val="right"/>
            <w:rPr/>
          </w:pPr>
          <w:r>
            <w:rPr/>
            <w:drawing>
              <wp:inline distT="0" distB="0" distL="0" distR="0">
                <wp:extent cx="467995" cy="467995"/>
                <wp:effectExtent l="0" t="0" r="0" b="0"/>
                <wp:docPr id="2" name="Image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>
          <w:pPr>
            <w:pStyle w:val="Normal"/>
            <w:spacing w:before="0" w:after="0"/>
            <w:jc w:val="right"/>
            <w:rPr/>
          </w:pPr>
          <w:r>
            <w:rPr>
              <w:rFonts w:eastAsia="Arial" w:cs="Arial"/>
              <w:b w:val="false"/>
              <w:i/>
              <w:color w:val="606A78"/>
              <w:sz w:val="16"/>
            </w:rPr>
            <w:t>Édité par HEMC</w:t>
          </w:r>
        </w:p>
      </w:tc>
    </w:tr>
  </w:tbl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026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4a0" w:noHBand="0" w:noVBand="1" w:firstColumn="1" w:lastRow="0" w:lastColumn="0" w:firstRow="1"/>
    </w:tblPr>
    <w:tblGrid>
      <w:gridCol w:w="4964"/>
      <w:gridCol w:w="4061"/>
    </w:tblGrid>
    <w:tr>
      <w:trPr/>
      <w:tc>
        <w:tcPr>
          <w:tcW w:w="4964" w:type="dxa"/>
          <w:tcBorders/>
        </w:tcPr>
        <w:p>
          <w:pPr>
            <w:pStyle w:val="Normal"/>
            <w:pBdr>
              <w:top w:val="dashed" w:sz="4" w:space="3" w:color="2E75B6"/>
              <w:left w:val="dashed" w:sz="4" w:space="3" w:color="2E75B6"/>
              <w:bottom w:val="dashed" w:sz="4" w:space="3" w:color="2E75B6"/>
              <w:right w:val="dashed" w:sz="4" w:space="3" w:color="2E75B6"/>
            </w:pBdr>
            <w:spacing w:before="0" w:after="0"/>
            <w:rPr/>
          </w:pPr>
          <w:r>
            <w:rPr>
              <w:rFonts w:eastAsia="Arial" w:cs="Arial"/>
              <w:b w:val="false"/>
              <w:i/>
              <w:color w:val="606A78"/>
              <w:sz w:val="18"/>
            </w:rPr>
            <w:t>[Votre Logo Ici]</w:t>
          </w:r>
        </w:p>
        <w:p>
          <w:pPr>
            <w:pStyle w:val="Normal"/>
            <w:spacing w:before="0" w:after="0"/>
            <w:rPr/>
          </w:pPr>
          <w:r>
            <w:rPr>
              <w:rFonts w:eastAsia="Arial" w:cs="Arial"/>
              <w:b w:val="false"/>
              <w:i/>
              <w:color w:val="606A78"/>
              <w:sz w:val="18"/>
            </w:rPr>
            <w:t>[Nom organisation]</w:t>
          </w:r>
        </w:p>
      </w:tc>
      <w:tc>
        <w:tcPr>
          <w:tcW w:w="4061" w:type="dxa"/>
          <w:tcBorders/>
        </w:tcPr>
        <w:p>
          <w:pPr>
            <w:pStyle w:val="Normal"/>
            <w:spacing w:before="0" w:after="0"/>
            <w:jc w:val="right"/>
            <w:rPr/>
          </w:pPr>
          <w:r>
            <w:rPr/>
            <w:drawing>
              <wp:inline distT="0" distB="0" distL="0" distR="0">
                <wp:extent cx="467995" cy="467995"/>
                <wp:effectExtent l="0" t="0" r="0" b="0"/>
                <wp:docPr id="3" name="Image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>
          <w:pPr>
            <w:pStyle w:val="Normal"/>
            <w:spacing w:before="0" w:after="0"/>
            <w:jc w:val="right"/>
            <w:rPr/>
          </w:pPr>
          <w:r>
            <w:rPr>
              <w:rFonts w:eastAsia="Arial" w:cs="Arial"/>
              <w:b w:val="false"/>
              <w:i/>
              <w:color w:val="606A78"/>
              <w:sz w:val="16"/>
            </w:rPr>
            <w:t>Édité par HEMC</w:t>
          </w:r>
        </w:p>
      </w:tc>
    </w:tr>
  </w:tbl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updateFields w:val="true"/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68" w:before="0" w:after="120"/>
      <w:jc w:val="left"/>
    </w:pPr>
    <w:rPr>
      <w:rFonts w:ascii="Arial" w:hAnsi="Arial" w:eastAsia="Arial" w:cs="Arial"/>
      <w:color w:val="222222"/>
      <w:kern w:val="0"/>
      <w:sz w:val="20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200" w:after="10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10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2E75B6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10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112C48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styleId="Hyperlink">
    <w:name w:val="Hyperlink"/>
    <w:rPr>
      <w:color w:val="000080"/>
      <w:u w:val="single"/>
    </w:rPr>
  </w:style>
  <w:style w:type="character" w:styleId="IndexLink">
    <w:name w:val="Index Link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120"/>
      <w:ind w:hanging="360" w:lef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120"/>
      <w:ind w:lef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12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12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12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12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12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12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12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12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paragraph" w:styleId="TOC2">
    <w:name w:val="TOC 2"/>
    <w:basedOn w:val="Index"/>
    <w:pPr>
      <w:tabs>
        <w:tab w:val="clear" w:pos="720"/>
        <w:tab w:val="right" w:pos="9463" w:leader="dot"/>
      </w:tabs>
      <w:ind w:hanging="0" w:left="283"/>
    </w:pPr>
    <w:rPr/>
  </w:style>
  <w:style w:type="paragraph" w:styleId="TOC1">
    <w:name w:val="TOC 1"/>
    <w:basedOn w:val="Index"/>
    <w:pPr>
      <w:tabs>
        <w:tab w:val="clear" w:pos="720"/>
        <w:tab w:val="right" w:pos="9746" w:leader="dot"/>
      </w:tabs>
      <w:ind w:hanging="0" w:left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3">
    <w:name w:val="toc 3"/>
    <w:basedOn w:val="Normal"/>
    <w:next w:val="Normal"/>
    <w:uiPriority w:val="39"/>
    <w:pPr>
      <w:spacing w:after="60"/>
      <w:ind w:left="440"/>
      <w:tabs>
        <w:tab w:val="right" w:leader="dot" w:pos="9746"/>
      </w:tabs>
    </w:p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LibreOffice/24.2.7.2$Linux_X86_64 LibreOffice_project/420$Build-2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Hub Engineering Management Consulting</dc:creator>
  <dc:description>generated by python-docx</dc:description>
  <dc:language>en-US</dc:language>
  <cp:lastModifiedBy/>
  <dcterms:modified xsi:type="dcterms:W3CDTF">2026-07-27T11:01:35Z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