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140" cy="61214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40"/>
        <w:jc w:val="center"/>
        <w:rPr/>
      </w:pPr>
      <w:r>
        <w:rPr>
          <w:rFonts w:eastAsia="Arial" w:cs="Arial"/>
          <w:b/>
          <w:i w:val="false"/>
          <w:color w:val="1F4E79"/>
          <w:sz w:val="24"/>
        </w:rPr>
        <w:t>[Nom organisation]</w:t>
      </w:r>
    </w:p>
    <w:p>
      <w:pPr>
        <w:pStyle w:val="Normal"/>
        <w:spacing w:before="0" w:after="320"/>
        <w:jc w:val="center"/>
        <w:rPr/>
      </w:pPr>
      <w:r>
        <w:rPr>
          <w:rFonts w:eastAsia="Arial" w:cs="Arial"/>
          <w:b w:val="false"/>
          <w:i/>
          <w:color w:val="2E75B6"/>
          <w:sz w:val="18"/>
        </w:rPr>
        <w:t>Système de Management de la Sécurité de l'Information — ISO/IEC 27001:2022</w:t>
      </w:r>
    </w:p>
    <w:p>
      <w:pPr>
        <w:pStyle w:val="Normal"/>
        <w:pBdr>
          <w:top w:val="single" w:sz="24" w:space="3" w:color="D69E2E"/>
        </w:pBdr>
        <w:shd w:val="clear" w:fill="1F4E79"/>
        <w:spacing w:before="0" w:after="0"/>
        <w:jc w:val="center"/>
        <w:rPr/>
      </w:pPr>
      <w:r>
        <w:rPr>
          <w:rFonts w:eastAsia="Arial" w:cs="Arial"/>
          <w:b/>
          <w:i w:val="false"/>
          <w:caps/>
          <w:color w:val="E0EBF7"/>
          <w:spacing w:val="30"/>
          <w:sz w:val="19"/>
        </w:rPr>
        <w:br/>
        <w:t>Fiche processus</w:t>
        <w:br/>
      </w:r>
    </w:p>
    <w:p>
      <w:pPr>
        <w:pStyle w:val="Normal"/>
        <w:shd w:val="clear" w:fill="1F4E79"/>
        <w:spacing w:before="0" w:after="0"/>
        <w:jc w:val="center"/>
        <w:rPr/>
      </w:pPr>
      <w:r>
        <w:rPr>
          <w:rFonts w:eastAsia="Arial" w:cs="Arial"/>
          <w:b/>
          <w:i w:val="false"/>
          <w:color w:val="FFFFFF"/>
          <w:sz w:val="34"/>
        </w:rPr>
        <w:t>PC-IAM</w:t>
      </w:r>
      <w:r>
        <w:rPr>
          <w:rFonts w:eastAsia="Arial" w:cs="Arial"/>
          <w:b w:val="false"/>
          <w:i w:val="false"/>
          <w:color w:val="FFFFFF"/>
          <w:sz w:val="34"/>
        </w:rPr>
        <w:br/>
      </w:r>
      <w:r>
        <w:rPr>
          <w:rFonts w:eastAsia="Arial" w:cs="Arial"/>
          <w:b/>
          <w:i w:val="false"/>
          <w:color w:val="FFFFFF"/>
          <w:sz w:val="34"/>
        </w:rPr>
        <w:t>Identités et contrôle d'accès</w:t>
      </w:r>
    </w:p>
    <w:p>
      <w:pPr>
        <w:pStyle w:val="Normal"/>
        <w:pBdr>
          <w:bottom w:val="single" w:sz="12" w:space="3" w:color="4F9B3E"/>
        </w:pBdr>
        <w:shd w:val="clear" w:fill="1F4E79"/>
        <w:spacing w:before="0" w:after="0"/>
        <w:jc w:val="center"/>
        <w:rPr/>
      </w:pPr>
      <w:r>
        <w:rPr>
          <w:rFonts w:eastAsia="Arial" w:cs="Arial"/>
          <w:b w:val="false"/>
          <w:i w:val="false"/>
          <w:color w:val="1F4E79"/>
          <w:sz w:val="12"/>
        </w:rPr>
        <w:br/>
      </w:r>
    </w:p>
    <w:p>
      <w:pPr>
        <w:pStyle w:val="Normal"/>
        <w:spacing w:before="200" w:after="80"/>
        <w:jc w:val="center"/>
        <w:rPr/>
      </w:pPr>
      <w:r>
        <w:rPr>
          <w:rFonts w:eastAsia="Arial" w:cs="Arial"/>
          <w:b w:val="false"/>
          <w:i w:val="false"/>
          <w:color w:val="606A78"/>
          <w:sz w:val="20"/>
        </w:rPr>
        <w:t>Processus de réalisation (PC) — Approche processus ISO/IEC 27001:2022 §4.4</w:t>
      </w:r>
    </w:p>
    <w:p>
      <w:pPr>
        <w:pStyle w:val="Normal"/>
        <w:pBdr>
          <w:top w:val="single" w:sz="4" w:space="3" w:color="E0EBF7"/>
          <w:left w:val="single" w:sz="4" w:space="3" w:color="E0EBF7"/>
          <w:bottom w:val="single" w:sz="4" w:space="3" w:color="E0EBF7"/>
          <w:right w:val="single" w:sz="4" w:space="3" w:color="E0EBF7"/>
        </w:pBdr>
        <w:shd w:val="clear" w:fill="F7FAFD"/>
        <w:spacing w:before="160" w:after="280"/>
        <w:jc w:val="center"/>
        <w:rPr/>
      </w:pPr>
      <w:r>
        <w:rPr>
          <w:rFonts w:eastAsia="Arial" w:cs="Arial"/>
          <w:b w:val="false"/>
          <w:i/>
          <w:color w:val="112C48"/>
          <w:sz w:val="18"/>
        </w:rPr>
        <w:t>Gérer le cycle de vie des identités et attribuer, contrôler et réviser les droits d'accès selon les principes de moindre privilège et de besoin d'en connaître (A.5.15 à A.5.18, A.8.2 à A.8.5).</w:t>
      </w:r>
    </w:p>
    <w:p>
      <w:pPr>
        <w:pStyle w:val="Normal"/>
        <w:spacing w:before="280" w:after="80"/>
        <w:jc w:val="center"/>
        <w:rPr/>
      </w:pPr>
      <w:r>
        <w:rPr>
          <w:rFonts w:eastAsia="Arial" w:cs="Arial"/>
          <w:b w:val="false"/>
          <w:i w:val="false"/>
          <w:color w:val="606A78"/>
          <w:sz w:val="18"/>
        </w:rPr>
        <w:t>Organisme :</w:t>
      </w:r>
    </w:p>
    <w:p>
      <w:pPr>
        <w:pStyle w:val="Normal"/>
        <w:pBdr>
          <w:top w:val="dashed" w:sz="4" w:space="3" w:color="2E75B6"/>
          <w:left w:val="dashed" w:sz="4" w:space="3" w:color="2E75B6"/>
          <w:bottom w:val="dashed" w:sz="4" w:space="3" w:color="2E75B6"/>
          <w:right w:val="dashed" w:sz="4" w:space="3" w:color="2E75B6"/>
        </w:pBdr>
        <w:spacing w:before="0" w:after="0"/>
        <w:jc w:val="center"/>
        <w:rPr/>
      </w:pPr>
      <w:r>
        <w:rPr>
          <w:rFonts w:eastAsia="Arial" w:cs="Arial"/>
          <w:b w:val="false"/>
          <w:i/>
          <w:color w:val="606A78"/>
          <w:sz w:val="20"/>
        </w:rPr>
        <w:t xml:space="preserve">  </w:t>
      </w:r>
      <w:r>
        <w:rPr>
          <w:rFonts w:eastAsia="Arial" w:cs="Arial"/>
          <w:b w:val="false"/>
          <w:i/>
          <w:color w:val="606A78"/>
          <w:sz w:val="20"/>
        </w:rPr>
        <w:t xml:space="preserve">[LOGO CLIENT]        [NOM DE L'ORGANISME]  </w:t>
      </w:r>
    </w:p>
    <w:p>
      <w:pPr>
        <w:pStyle w:val="Normal"/>
        <w:spacing w:before="440" w:after="0"/>
        <w:jc w:val="center"/>
        <w:rPr/>
      </w:pPr>
      <w:r>
        <w:rPr>
          <w:rFonts w:eastAsia="Arial" w:cs="Arial"/>
          <w:b w:val="false"/>
          <w:i w:val="false"/>
          <w:color w:val="606A78"/>
          <w:sz w:val="18"/>
        </w:rPr>
        <w:t>FP-PC-IAM-001   ·   Version 1.0   ·   Juillet 2026</w:t>
      </w:r>
    </w:p>
    <w:p>
      <w:pPr>
        <w:pStyle w:val="Normal"/>
        <w:spacing w:before="40" w:after="0"/>
        <w:jc w:val="center"/>
        <w:rPr/>
      </w:pPr>
      <w:r>
        <w:rPr>
          <w:rFonts w:eastAsia="Arial" w:cs="Arial"/>
          <w:b w:val="false"/>
          <w:i/>
          <w:color w:val="606A78"/>
          <w:sz w:val="16"/>
        </w:rPr>
        <w:t>Hub Engineering Management Consulting  ·  hem-consulting.com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1. Finalité du processus</w:t>
      </w:r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Gérer le cycle de vie des identités et attribuer, contrôler et réviser les droits d'accès selon les principes de moindre privilège et de besoin d'en connaître (A.5.15 à A.5.18, A.8.2 à A.8.5).</w:t>
      </w:r>
    </w:p>
    <w:p>
      <w:pPr>
        <w:pStyle w:val="Normal"/>
        <w:pBdr>
          <w:top w:val="single" w:sz="4" w:space="3" w:color="2E75B6"/>
          <w:left w:val="single" w:sz="20" w:space="3" w:color="2E75B6"/>
          <w:bottom w:val="single" w:sz="4" w:space="3" w:color="2E75B6"/>
          <w:right w:val="single" w:sz="4" w:space="3" w:color="2E75B6"/>
        </w:pBdr>
        <w:shd w:val="clear" w:fill="EAF2FA"/>
        <w:spacing w:before="80" w:after="140"/>
        <w:rPr/>
      </w:pPr>
      <w:r>
        <w:rPr>
          <w:rFonts w:eastAsia="Arial" w:cs="Arial"/>
          <w:b/>
          <w:i w:val="false"/>
          <w:color w:val="1B4C7A"/>
          <w:sz w:val="19"/>
        </w:rPr>
        <w:t>i  Cette fiche décrit un processus du SMSI. Elle se lit avec le manuel MAN-SI-001 (exigences), la cartographie CAR-SI-001 (interactions) et les procédures associées listées en section 12.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2. Maîtrise du document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4513"/>
        <w:gridCol w:w="4512"/>
      </w:tblGrid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Code du document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FP-PC-IAM-001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Version / Date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1.0  ·  Juillet 2026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Rédacteur / Vérificateur / Approbateur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[RSSI]  ·  [Responsable SMSI]  ·  [Direction générale]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Classification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Interne — document contrôlé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Périodicité de revue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Annuelle, et à chaque changement significatif du processus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Logigramme associé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LOG-PC-IAM (paragraphe 8 de la présente fiche)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3. Pilote et acteurs du processus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4513"/>
        <w:gridCol w:w="4512"/>
      </w:tblGrid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Pilote du processus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DSI, avec le RSSI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Famille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Processus de réalisation (PC)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Contributeurs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DRH · Propriétaires d'actifs · Managers · Prestataires</w:t>
            </w:r>
          </w:p>
        </w:tc>
      </w:tr>
      <w:tr>
        <w:trPr/>
        <w:tc>
          <w:tcPr>
            <w:tcW w:w="4513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EEF4FA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F4E79"/>
                <w:sz w:val="19"/>
              </w:rPr>
              <w:t>Autorité de décision</w:t>
            </w:r>
          </w:p>
        </w:tc>
        <w:tc>
          <w:tcPr>
            <w:tcW w:w="4512" w:type="dxa"/>
            <w:tcBorders>
              <w:top w:val="single" w:sz="2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Direction générale, sur proposition du pilote et du RSSI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4. Domaine d'application</w:t>
      </w:r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Tous les accès logiques et physiques aux systèmes, applications, données et locaux du périmètre, pour les collaborateurs comme pour les tiers.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5. Éléments d'entrée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3008"/>
        <w:gridCol w:w="3009"/>
        <w:gridCol w:w="3009"/>
      </w:tblGrid>
      <w:tr>
        <w:trPr>
          <w:tblHeader w:val="true"/>
        </w:trPr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Élément d'entrée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Source / Référence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Clause ou mesure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Mouvements de personnel : arrivées, mobilités, départs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S-RH-001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A.6.1 · A.6.5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Demandes d'accès validées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A.5.18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Classification des actifs et propriétaires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S-ACT-001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A.5.12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Exigences issues de l'appréciation des risques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S-RIS-001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§6.1.3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Contrats et accès des prestataires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S-FOU-001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A.5.19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6. Éléments de sortie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3008"/>
        <w:gridCol w:w="3009"/>
        <w:gridCol w:w="3009"/>
      </w:tblGrid>
      <w:tr>
        <w:trPr>
          <w:tblHeader w:val="true"/>
        </w:trPr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Élément de sortie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Enregistrement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Clause ou mesure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et droits attribués et tracés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A.5.16 · A.5.18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Matrice des habilitations par profil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A.5.15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Rapports de revue des 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A.5.18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désactivés au départ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A.6.5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Registre des comptes à privilèges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A.8.2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7. Activités clés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1805"/>
        <w:gridCol w:w="1805"/>
        <w:gridCol w:w="1805"/>
        <w:gridCol w:w="1805"/>
        <w:gridCol w:w="1806"/>
      </w:tblGrid>
      <w:tr>
        <w:trPr>
          <w:tblHeader w:val="true"/>
        </w:trPr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N°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Activité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Description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Responsable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Enregistrement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Définir les profils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Construire une matrice de profils métier avec les droits minimaux nécessaires à chaque fonction.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 + propriétaires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2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Créer l'identité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Ouvrir un compte nominatif unique à l'arrivée, sur demande validée par le manager et le propriétaire d'actif.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3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Attribuer les droits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Appliquer le profil correspondant ; toute exception est justifiée, limitée dans le temps et tracée.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4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Sécuriser l'authentification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Imposer des moyens d'authentification robustes et l'authentification multifacteur sur les accès sensibles et distants.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A.8.5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5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Encadrer les privilèges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Recenser les comptes à privilèges, les nominatifs, les limiter, les journaliser et proscrire leur usage courant.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6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Gérer les mobilités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Retirer les droits de l'ancien poste avant d'attribuer ceux du nouveau, pour éviter le cumul.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 + DRH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7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Réviser les accès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Faire valider par les propriétaires d'actifs la liste des accès, au moins semestriellement et trimestriellement pour les privilèges.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Propriétaires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8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Révoquer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Désactiver les comptes au départ dans les délais fixés et tracer la révocation.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</w:tr>
      <w:tr>
        <w:trPr/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9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/>
                <w:i w:val="false"/>
                <w:color w:val="1C2634"/>
                <w:sz w:val="19"/>
              </w:rPr>
              <w:t>Détecter les anomalies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Rechercher les comptes orphelins, inactifs, génériques ou non conformes au profil.</w:t>
            </w:r>
          </w:p>
        </w:tc>
        <w:tc>
          <w:tcPr>
            <w:tcW w:w="18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DSI + RSSI</w:t>
            </w:r>
          </w:p>
        </w:tc>
        <w:tc>
          <w:tcPr>
            <w:tcW w:w="180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Rapport d'anomalies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8. Logigramme du processus</w:t>
      </w:r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/>
          <w:color w:val="606A78"/>
          <w:sz w:val="18"/>
        </w:rPr>
        <w:t>Le logigramme ci-dessous décrit l'enchaînement des activités et les points de décision du processus. Conventions : ovale vert = début ou fin · rectangle bleu = activité · losange rose = décision · note orange = document ou enregistrement · double bordure = renvoi vers un autre processus.</w:t>
      </w:r>
    </w:p>
    <w:p>
      <w:pPr>
        <w:pStyle w:val="Normal"/>
        <w:spacing w:before="80" w:after="40"/>
        <w:jc w:val="center"/>
        <w:rPr/>
      </w:pPr>
      <w:r>
        <w:rPr/>
        <w:drawing>
          <wp:inline distT="0" distB="0" distL="0" distR="0">
            <wp:extent cx="4521200" cy="7934960"/>
            <wp:effectExtent l="0" t="0" r="0" b="0"/>
            <wp:docPr id="1" name="Logigramme"/>
            <wp:cNvGraphicFramePr/>
            <a:graphic xmlns:a="http://schemas.openxmlformats.org/drawingml/2006/main"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4521200" cy="7934960"/>
                      <a:chOff x="0" y="0"/>
                      <a:chExt cx="4521200" cy="7934960"/>
                    </a:xfrm>
                  </wpg:grpSpPr>
                  <wps:wsp>
                    <wps:cNvPr id="2" name="n0"/>
                    <wps:cNvSpPr/>
                    <wps:spPr>
                      <a:xfrm>
                        <a:off x="558800" y="0"/>
                        <a:ext cx="3403600" cy="436880"/>
                      </a:xfrm>
                      <a:prstGeom prst="flowChartTerminator">
                        <a:avLst/>
                      </a:prstGeom>
                      <a:solidFill>
                        <a:srgbClr val="1F4E79"/>
                      </a:solidFill>
                      <a:ln w="9525" cap="flat">
                        <a:solidFill>
                          <a:srgbClr val="1F4E79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Arrivée, mobilité,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départ ou demande d'accès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3" name="n1"/>
                    <wps:cNvSpPr/>
                    <wps:spPr>
                      <a:xfrm>
                        <a:off x="558800" y="624840"/>
                        <a:ext cx="3403600" cy="421640"/>
                      </a:xfrm>
                      <a:prstGeom prst="round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2E75B6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Formaliser la demande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F-IAM-001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4" name="n2"/>
                    <wps:cNvSpPr/>
                    <wps:spPr>
                      <a:xfrm>
                        <a:off x="933196" y="1234440"/>
                        <a:ext cx="2654808" cy="751840"/>
                      </a:xfrm>
                      <a:prstGeom prst="flowChartDecision">
                        <a:avLst/>
                      </a:prstGeom>
                      <a:solidFill>
                        <a:srgbClr val="FFFCF4"/>
                      </a:solidFill>
                      <a:ln w="9525" cap="flat">
                        <a:solidFill>
                          <a:srgbClr val="C2952C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  <w:t xml:space="preserve">Validée par le manager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  <w:t xml:space="preserve">et le propriétaire ?</w:t>
                          </w:r>
                        </w:p>
                      </w:txbxContent>
                    </wps:txbx>
                    <wps:bodyPr rot="0" anchor="ctr" anchorCtr="0" lIns="25400" rIns="25400" tIns="0" bIns="0">
                      <a:noAutofit/>
                    </wps:bodyPr>
                  </wps:wsp>
                  <wps:wsp>
                    <wps:cNvPr id="5" name="n3"/>
                    <wps:cNvSpPr/>
                    <wps:spPr>
                      <a:xfrm>
                        <a:off x="558800" y="2174240"/>
                        <a:ext cx="3403600" cy="421640"/>
                      </a:xfrm>
                      <a:prstGeom prst="round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2E75B6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Appliquer le profil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et le moindre privilège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6" name="n4"/>
                    <wps:cNvSpPr/>
                    <wps:spPr>
                      <a:xfrm>
                        <a:off x="933196" y="2783840"/>
                        <a:ext cx="2654808" cy="751840"/>
                      </a:xfrm>
                      <a:prstGeom prst="flowChartDecision">
                        <a:avLst/>
                      </a:prstGeom>
                      <a:solidFill>
                        <a:srgbClr val="FFFCF4"/>
                      </a:solidFill>
                      <a:ln w="9525" cap="flat">
                        <a:solidFill>
                          <a:srgbClr val="C2952C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  <w:t xml:space="preserve">Accès à privilèges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  <w:t xml:space="preserve">ou sensible ?</w:t>
                          </w:r>
                        </w:p>
                      </w:txbxContent>
                    </wps:txbx>
                    <wps:bodyPr rot="0" anchor="ctr" anchorCtr="0" lIns="25400" rIns="25400" tIns="0" bIns="0">
                      <a:noAutofit/>
                    </wps:bodyPr>
                  </wps:wsp>
                  <wps:wsp>
                    <wps:cNvPr id="7" name="n5"/>
                    <wps:cNvSpPr/>
                    <wps:spPr>
                      <a:xfrm>
                        <a:off x="558800" y="3723640"/>
                        <a:ext cx="3403600" cy="421640"/>
                      </a:xfrm>
                      <a:prstGeom prst="round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2E75B6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Compte séparé, MFA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et journalisation renforcée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8" name="n6"/>
                    <wps:cNvSpPr/>
                    <wps:spPr>
                      <a:xfrm>
                        <a:off x="558800" y="4333240"/>
                        <a:ext cx="3403600" cy="421640"/>
                      </a:xfrm>
                      <a:prstGeom prst="round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2E75B6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Enregistrer dans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la matrice S-IAM-001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9" name="n7"/>
                    <wps:cNvSpPr/>
                    <wps:spPr>
                      <a:xfrm>
                        <a:off x="558800" y="4942840"/>
                        <a:ext cx="3403600" cy="421640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close/>
                          </a:path>
                          <a:path w="21600" h="21600" fill="none" stroke="1">
                            <a:moveTo>
                              <a:pt x="1000" y="0"/>
                            </a:moveTo>
                            <a:lnTo>
                              <a:pt x="1000" y="21600"/>
                            </a:lnTo>
                          </a:path>
                          <a:path w="21600" h="21600" fill="none" stroke="1">
                            <a:moveTo>
                              <a:pt x="20600" y="0"/>
                            </a:moveTo>
                            <a:lnTo>
                              <a:pt x="20600" y="21600"/>
                            </a:lnTo>
                          </a:path>
                        </a:pathLst>
                      </a:custGeom>
                      <a:solidFill>
                        <a:srgbClr val="EAF2FA"/>
                      </a:solidFill>
                      <a:ln w="9525" cap="flat">
                        <a:solidFill>
                          <a:srgbClr val="1F4E79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F4E7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F4E79"/>
                              <w:sz w:val="16"/>
                              <w:szCs w:val="16"/>
                            </w:rPr>
                            <w:t xml:space="preserve">Revue périodique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F4E7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F4E79"/>
                              <w:sz w:val="16"/>
                              <w:szCs w:val="16"/>
                            </w:rPr>
                            <w:t xml:space="preserve">des accès</w:t>
                          </w:r>
                        </w:p>
                      </w:txbxContent>
                    </wps:txbx>
                    <wps:bodyPr rot="0" anchor="ctr" anchorCtr="0" lIns="221074" rIns="221074" tIns="25400" bIns="25400">
                      <a:noAutofit/>
                    </wps:bodyPr>
                  </wps:wsp>
                  <wps:wsp>
                    <wps:cNvPr id="10" name="n8"/>
                    <wps:cNvSpPr/>
                    <wps:spPr>
                      <a:xfrm>
                        <a:off x="933196" y="5552440"/>
                        <a:ext cx="2654808" cy="487680"/>
                      </a:xfrm>
                      <a:prstGeom prst="flowChartDecision">
                        <a:avLst/>
                      </a:prstGeom>
                      <a:solidFill>
                        <a:srgbClr val="FFFCF4"/>
                      </a:solidFill>
                      <a:ln w="9525" cap="flat">
                        <a:solidFill>
                          <a:srgbClr val="C2952C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7A5B12"/>
                              <w:sz w:val="16"/>
                              <w:szCs w:val="16"/>
                            </w:rPr>
                            <w:t xml:space="preserve">Écart détecté ?</w:t>
                          </w:r>
                        </w:p>
                      </w:txbxContent>
                    </wps:txbx>
                    <wps:bodyPr rot="0" anchor="ctr" anchorCtr="0" lIns="25400" rIns="25400" tIns="0" bIns="0">
                      <a:noAutofit/>
                    </wps:bodyPr>
                  </wps:wsp>
                  <wps:wsp>
                    <wps:cNvPr id="11" name="n9"/>
                    <wps:cNvSpPr/>
                    <wps:spPr>
                      <a:xfrm>
                        <a:off x="558800" y="6228080"/>
                        <a:ext cx="3403600" cy="421640"/>
                      </a:xfrm>
                      <a:prstGeom prst="round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2E75B6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Corriger et tracer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4181F"/>
                              <w:sz w:val="16"/>
                              <w:szCs w:val="16"/>
                            </w:rPr>
                            <w:t xml:space="preserve">(retrait, régularisation)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12" name="n10"/>
                    <wps:cNvSpPr/>
                    <wps:spPr>
                      <a:xfrm>
                        <a:off x="558800" y="6837680"/>
                        <a:ext cx="3403600" cy="472440"/>
                      </a:xfrm>
                      <a:prstGeom prst="flowChartDocument">
                        <a:avLst/>
                      </a:prstGeom>
                      <a:solidFill>
                        <a:srgbClr val="F7F5F0"/>
                      </a:solidFill>
                      <a:ln w="9525" cap="flat">
                        <a:solidFill>
                          <a:srgbClr val="9C948A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4A4A4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A4A4A"/>
                              <w:sz w:val="16"/>
                              <w:szCs w:val="16"/>
                            </w:rPr>
                            <w:t xml:space="preserve">Rapport de revue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4A4A4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A4A4A"/>
                              <w:sz w:val="16"/>
                              <w:szCs w:val="16"/>
                            </w:rPr>
                            <w:t xml:space="preserve">des accès</w:t>
                          </w:r>
                        </w:p>
                      </w:txbxContent>
                    </wps:txbx>
                    <wps:bodyPr rot="0" anchor="ctr" anchorCtr="0" lIns="76200" rIns="76200" tIns="25400" bIns="75590">
                      <a:noAutofit/>
                    </wps:bodyPr>
                  </wps:wsp>
                  <wps:wsp>
                    <wps:cNvPr id="13" name="n11"/>
                    <wps:cNvSpPr/>
                    <wps:spPr>
                      <a:xfrm>
                        <a:off x="558800" y="7498080"/>
                        <a:ext cx="3403600" cy="436880"/>
                      </a:xfrm>
                      <a:prstGeom prst="flowChartTerminator">
                        <a:avLst/>
                      </a:prstGeom>
                      <a:solidFill>
                        <a:srgbClr val="1F4E79"/>
                      </a:solidFill>
                      <a:ln w="9525" cap="flat">
                        <a:solidFill>
                          <a:srgbClr val="1F4E79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Accès maîtrisés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et imputables</w:t>
                          </w:r>
                        </w:p>
                      </w:txbxContent>
                    </wps:txbx>
                    <wps:bodyPr rot="0" anchor="ctr" anchorCtr="0" lIns="76200" rIns="76200" tIns="25400" bIns="25400">
                      <a:noAutofit/>
                    </wps:bodyPr>
                  </wps:wsp>
                  <wps:wsp>
                    <wps:cNvPr id="14" name="lien14"/>
                    <wps:cNvSpPr/>
                    <wps:spPr>
                      <a:xfrm>
                        <a:off x="2260600" y="4368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5" name="lien15"/>
                    <wps:cNvSpPr/>
                    <wps:spPr>
                      <a:xfrm>
                        <a:off x="2260600" y="10464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6" name="lien16"/>
                    <wps:cNvSpPr/>
                    <wps:spPr>
                      <a:xfrm>
                        <a:off x="3588004" y="1610360"/>
                        <a:ext cx="704596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7" name="lien17"/>
                    <wps:cNvSpPr/>
                    <wps:spPr>
                      <a:xfrm flipV="1">
                        <a:off x="4292600" y="540258"/>
                        <a:ext cx="1" cy="1070102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8" name="lien18"/>
                    <wps:cNvSpPr/>
                    <wps:spPr>
                      <a:xfrm flipH="1">
                        <a:off x="2260600" y="540258"/>
                        <a:ext cx="2032000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9" name="et19"/>
                    <wps:cNvSpPr txBox="1"/>
                    <wps:spPr>
                      <a:xfrm>
                        <a:off x="3638804" y="140716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left"/>
                            <w:spacing w:before="0" w:after="0"/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  <w:t xml:space="preserve">Non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20" name="lien20"/>
                    <wps:cNvSpPr/>
                    <wps:spPr>
                      <a:xfrm>
                        <a:off x="2260600" y="19862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2F6F5E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1" name="et21"/>
                    <wps:cNvSpPr txBox="1"/>
                    <wps:spPr>
                      <a:xfrm>
                        <a:off x="2305050" y="200406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left"/>
                            <w:spacing w:before="0" w:after="0"/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  <w:t xml:space="preserve">Oui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22" name="lien22"/>
                    <wps:cNvSpPr/>
                    <wps:spPr>
                      <a:xfrm>
                        <a:off x="2260600" y="25958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3" name="lien23"/>
                    <wps:cNvSpPr/>
                    <wps:spPr>
                      <a:xfrm>
                        <a:off x="2260600" y="35356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2F6F5E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4" name="et24"/>
                    <wps:cNvSpPr txBox="1"/>
                    <wps:spPr>
                      <a:xfrm>
                        <a:off x="2305050" y="355346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left"/>
                            <w:spacing w:before="0" w:after="0"/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  <w:t xml:space="preserve">Oui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25" name="lien25"/>
                    <wps:cNvSpPr/>
                    <wps:spPr>
                      <a:xfrm flipH="1">
                        <a:off x="228600" y="3159760"/>
                        <a:ext cx="704596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6" name="lien26"/>
                    <wps:cNvSpPr/>
                    <wps:spPr>
                      <a:xfrm>
                        <a:off x="228600" y="3159760"/>
                        <a:ext cx="1" cy="1088898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7" name="lien27"/>
                    <wps:cNvSpPr/>
                    <wps:spPr>
                      <a:xfrm>
                        <a:off x="228600" y="4248658"/>
                        <a:ext cx="2032000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8" name="et28"/>
                    <wps:cNvSpPr txBox="1"/>
                    <wps:spPr>
                      <a:xfrm>
                        <a:off x="501396" y="295656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  <w:spacing w:before="0" w:after="0"/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  <w:t xml:space="preserve">Non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29" name="lien29"/>
                    <wps:cNvSpPr/>
                    <wps:spPr>
                      <a:xfrm>
                        <a:off x="2260600" y="41452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0" name="lien30"/>
                    <wps:cNvSpPr/>
                    <wps:spPr>
                      <a:xfrm>
                        <a:off x="2260600" y="47548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1" name="lien31"/>
                    <wps:cNvSpPr/>
                    <wps:spPr>
                      <a:xfrm>
                        <a:off x="2260600" y="536448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2" name="lien32"/>
                    <wps:cNvSpPr/>
                    <wps:spPr>
                      <a:xfrm>
                        <a:off x="2260600" y="604012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2F6F5E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3" name="et33"/>
                    <wps:cNvSpPr txBox="1"/>
                    <wps:spPr>
                      <a:xfrm>
                        <a:off x="2305050" y="605790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left"/>
                            <w:spacing w:before="0" w:after="0"/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2F6F5E"/>
                              <w:sz w:val="14"/>
                              <w:szCs w:val="14"/>
                            </w:rPr>
                            <w:t xml:space="preserve">Oui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34" name="lien34"/>
                    <wps:cNvSpPr/>
                    <wps:spPr>
                      <a:xfrm flipH="1">
                        <a:off x="228600" y="5796280"/>
                        <a:ext cx="704596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35" name="lien35"/>
                    <wps:cNvSpPr/>
                    <wps:spPr>
                      <a:xfrm>
                        <a:off x="228600" y="5796280"/>
                        <a:ext cx="1" cy="956818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36" name="lien36"/>
                    <wps:cNvSpPr/>
                    <wps:spPr>
                      <a:xfrm>
                        <a:off x="228600" y="6753098"/>
                        <a:ext cx="2032000" cy="1"/>
                      </a:xfrm>
                      <a:prstGeom prst="line">
                        <a:avLst/>
                      </a:prstGeom>
                      <a:ln w="9525">
                        <a:solidFill>
                          <a:srgbClr val="B23B2E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7" name="et37"/>
                    <wps:cNvSpPr txBox="1"/>
                    <wps:spPr>
                      <a:xfrm>
                        <a:off x="501396" y="559308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  <w:spacing w:before="0" w:after="0"/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B23B2E"/>
                              <w:sz w:val="14"/>
                              <w:szCs w:val="14"/>
                            </w:rPr>
                            <w:t xml:space="preserve">Non</w:t>
                          </w:r>
                        </w:p>
                      </w:txbxContent>
                    </wps:txbx>
                    <wps:bodyPr rot="0" anchor="ctr" lIns="0" rIns="0" tIns="0" bIns="0">
                      <a:noAutofit/>
                    </wps:bodyPr>
                  </wps:wsp>
                  <wps:wsp>
                    <wps:cNvPr id="38" name="lien38"/>
                    <wps:cNvSpPr/>
                    <wps:spPr>
                      <a:xfrm>
                        <a:off x="2260600" y="664972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39" name="lien39"/>
                    <wps:cNvSpPr/>
                    <wps:spPr>
                      <a:xfrm>
                        <a:off x="2260600" y="7310120"/>
                        <a:ext cx="1" cy="187960"/>
                      </a:xfrm>
                      <a:prstGeom prst="line">
                        <a:avLst/>
                      </a:prstGeom>
                      <a:ln w="9525">
                        <a:solidFill>
                          <a:srgbClr val="8A94A2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</wpg:wgp>
              </a:graphicData>
            </a:graphic>
          </wp:inline>
        </w:drawing>
      </w:r>
    </w:p>
    <w:p>
      <w:pPr>
        <w:pStyle w:val="Normal"/>
        <w:spacing w:before="0" w:after="120"/>
        <w:jc w:val="center"/>
        <w:rPr/>
      </w:pPr>
      <w:r>
        <w:rPr>
          <w:rFonts w:eastAsia="Arial" w:cs="Arial"/>
          <w:b w:val="false"/>
          <w:i/>
          <w:color w:val="606A78"/>
          <w:sz w:val="18"/>
        </w:rPr>
        <w:t>Logigramme LOG-PC-IAM — Identités et contrôle d'accès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9. Interactions avec les autres processus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3008"/>
        <w:gridCol w:w="3009"/>
        <w:gridCol w:w="3009"/>
      </w:tblGrid>
      <w:tr>
        <w:trPr>
          <w:tblHeader w:val="true"/>
        </w:trPr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Processus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Reçoit de ce processus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Fournit à ce processus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PS-RH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Confirmation de révocation des 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Arrivées, mobilités, départs, sanctions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PC-ACT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Accès effectifs par actif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Classification et propriétaires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PC-EXP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Droits à appliquer techniquement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Journaux d'authentification et d'accès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PS-FOU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tiers tracés et limités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Accès demandés par les prestataires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10. Indicateurs de performance</w:t>
      </w:r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Chaque indicateur est calculé selon la formule indiquée et consolidé dans le tableau de bord du SMSI (S-SUR-001). Un dépassement de seuil déclenche une revue en comité de sécurité.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Indicateur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Formule de calcul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Cible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Fréquence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Taux de comptes à privilèges revus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à privilèges revus / recensés × 100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100 %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Trimestrielle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Délai de désactivation au départ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Σ (date désactivation – date départ) / nb départs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 xml:space="preserve">≤ </w:t>
            </w: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 jour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Mensuelle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Nombre de comptes orphelins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actifs sans porteur identifié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Trimestrielle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Taux de couverture de l'authentification multifacteur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sensibles avec MFA / comptes sensibles × 100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100 %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Trimestrielle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Taux d'accès conformes au profil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Accès conformes / accès contrôlés × 100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 xml:space="preserve">≥ </w:t>
            </w: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95 %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Semestrielle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11. Risques du processus et points de maîtrise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Risque identifié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Niveau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Points de maîtrise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Mesure(s) associée(s)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Accumulation de droits au fil des mobilités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Élevé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Retrait systématique avant attribution, revue périodique par profil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A.5.18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de départs non désactivés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Critique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Automatisation du flux RH → SI, contrôle hebdomadaire des écarts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A.6.5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génériques et partagés non imputables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Élevé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Interdiction de principe, inventaire des exceptions justifiées, coffre-fort de secrets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A.5.16 · A.8.5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à privilèges utilisés au quotidien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Élevé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Comptes séparés, élévation temporaire, journalisation renforcée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A.8.2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Revues d'accès signées sans examen réel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Moyen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Revue outillée avec écarts pré-identifiés, échantillonnage de contrôle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A.5.18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Normal"/>
        <w:pBdr>
          <w:top w:val="single" w:sz="4" w:space="3" w:color="F5A623"/>
          <w:left w:val="single" w:sz="20" w:space="3" w:color="F5A623"/>
          <w:bottom w:val="single" w:sz="4" w:space="3" w:color="F5A623"/>
          <w:right w:val="single" w:sz="4" w:space="3" w:color="F5A623"/>
        </w:pBdr>
        <w:shd w:val="clear" w:fill="FDF0D5"/>
        <w:spacing w:before="80" w:after="140"/>
        <w:rPr/>
      </w:pPr>
      <w:r>
        <w:rPr>
          <w:rFonts w:eastAsia="Arial" w:cs="Arial"/>
          <w:b/>
          <w:i w:val="false"/>
          <w:color w:val="8A5A00"/>
          <w:sz w:val="19"/>
        </w:rPr>
        <w:t xml:space="preserve">⚑  </w:t>
      </w:r>
      <w:r>
        <w:rPr>
          <w:rFonts w:eastAsia="Arial" w:cs="Arial"/>
          <w:b/>
          <w:i w:val="false"/>
          <w:color w:val="8A5A00"/>
          <w:sz w:val="19"/>
        </w:rPr>
        <w:t>Ces risques alimentent le registre S-RIS-001. Leur cotation doit être réévaluée dans le contexte réel de l'organisme : les niveaux indiqués sont des repères sectoriels, pas des valeurs à reprendre telles quelles.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12. Documents et enregistrements associés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3008"/>
        <w:gridCol w:w="3009"/>
        <w:gridCol w:w="3009"/>
      </w:tblGrid>
      <w:tr>
        <w:trPr>
          <w:tblHeader w:val="true"/>
        </w:trPr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Code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Intitulé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Nature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Procédure de gestion des identités et des 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Procédure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Matrice des habilitations et revue des 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Registre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F-IAM-001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Demande de création ou de modification d'accès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Formulaire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PO-SI-001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Politique thématique de contrôle d'accès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Politique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r>
        <w:rPr>
          <w:rFonts w:eastAsia="Arial" w:cs="Arial" w:ascii="Arial" w:hAnsi="Arial"/>
          <w:b/>
          <w:i w:val="false"/>
          <w:color w:val="1F4E79"/>
          <w:sz w:val="28"/>
        </w:rPr>
        <w:t>13. Historique des révisions et approbation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Version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Date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Nature de la modification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Auteur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1.0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Juillet 2026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Création de la fiche processus PC-IAM.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[RSSI]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/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</w:tr>
    </w:tbl>
    <w:p>
      <w:pPr>
        <w:pStyle w:val="Normal"/>
        <w:spacing w:before="0" w:after="80"/>
        <w:rPr/>
      </w:pPr>
      <w:r>
        <w:rPr/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Étape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Fonction / Nom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Date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Signature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Rédaction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[RSSI]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Vérification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[Responsable SMSI]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Approbation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[Direction générale]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</w:tr>
    </w:tbl>
    <w:p>
      <w:pPr>
        <w:pStyle w:val="Normal"/>
        <w:spacing w:before="0" w:after="80"/>
        <w:rPr/>
      </w:pPr>
      <w:r>
        <w:rPr/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080" w:right="1080" w:gutter="0" w:header="561" w:top="1502" w:footer="459" w:bottom="120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FP-PC-IAM-001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8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FP-PC-IAM-001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8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3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4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68" w:before="0" w:after="120"/>
      <w:jc w:val="left"/>
    </w:pPr>
    <w:rPr>
      <w:rFonts w:ascii="Arial" w:hAnsi="Arial" w:eastAsia="Arial" w:cs="Arial"/>
      <w:color w:val="222222"/>
      <w:kern w:val="0"/>
      <w:sz w:val="20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200" w:after="10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10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2E75B6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10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112C4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12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12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12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12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12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12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12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12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12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12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LibreOffice/24.2.7.2$Linux_X86_64 LibreOffice_project/420$Build-2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Hub Engineering Management Consulting</dc:creator>
  <dc:description>generated by python-docx</dc:description>
  <dc:language>en-US</dc:language>
  <cp:lastModifiedBy>Hub Engineering Management Consulting</cp:lastModifiedBy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