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media/image1.png" ContentType="image/png"/>
  <Override PartName="/word/media/image2.png" ContentType="image/png"/>
  <Override PartName="/word/styles.xml" ContentType="application/vnd.openxmlformats-officedocument.wordprocessingml.styles+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pPr>
      <w:r>
        <w:rPr/>
        <w:drawing>
          <wp:inline distT="0" distB="0" distL="0" distR="0">
            <wp:extent cx="612140" cy="61214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612140" cy="612140"/>
                    </a:xfrm>
                    <a:prstGeom prst="rect">
                      <a:avLst/>
                    </a:prstGeom>
                  </pic:spPr>
                </pic:pic>
              </a:graphicData>
            </a:graphic>
          </wp:inline>
        </w:drawing>
      </w:r>
    </w:p>
    <w:p>
      <w:pPr>
        <w:pStyle w:val="Normal"/>
        <w:spacing w:before="120" w:after="40"/>
        <w:jc w:val="center"/>
        <w:rPr/>
      </w:pPr>
      <w:r>
        <w:rPr>
          <w:rFonts w:eastAsia="Arial" w:cs="Arial"/>
          <w:b/>
          <w:i w:val="false"/>
          <w:color w:val="1F4E79"/>
          <w:sz w:val="24"/>
        </w:rPr>
        <w:t>[Nom organisation]</w:t>
      </w:r>
    </w:p>
    <w:p>
      <w:pPr>
        <w:pStyle w:val="Normal"/>
        <w:spacing w:before="0" w:after="320"/>
        <w:jc w:val="center"/>
        <w:rPr/>
      </w:pPr>
      <w:r>
        <w:rPr>
          <w:rFonts w:eastAsia="Arial" w:cs="Arial"/>
          <w:b w:val="false"/>
          <w:i/>
          <w:color w:val="2E75B6"/>
          <w:sz w:val="18"/>
        </w:rPr>
        <w:t>Système de Management de la Sécurité de l'Information — ISO/IEC 27001:2022</w:t>
      </w:r>
    </w:p>
    <w:p>
      <w:pPr>
        <w:pStyle w:val="Normal"/>
        <w:pBdr>
          <w:top w:val="single" w:sz="24" w:space="3" w:color="D69E2E"/>
        </w:pBdr>
        <w:shd w:val="clear" w:fill="1F4E79"/>
        <w:spacing w:before="0" w:after="0"/>
        <w:jc w:val="center"/>
        <w:rPr/>
      </w:pPr>
      <w:r>
        <w:rPr>
          <w:rFonts w:eastAsia="Arial" w:cs="Arial"/>
          <w:b/>
          <w:i w:val="false"/>
          <w:caps/>
          <w:color w:val="E0EBF7"/>
          <w:spacing w:val="30"/>
          <w:sz w:val="19"/>
        </w:rPr>
        <w:br/>
        <w:t>Procédure</w:t>
        <w:br/>
      </w:r>
    </w:p>
    <w:p>
      <w:pPr>
        <w:pStyle w:val="Normal"/>
        <w:shd w:val="clear" w:fill="1F4E79"/>
        <w:spacing w:before="0" w:after="0"/>
        <w:jc w:val="center"/>
        <w:rPr/>
      </w:pPr>
      <w:r>
        <w:rPr>
          <w:rFonts w:eastAsia="Arial" w:cs="Arial"/>
          <w:b/>
          <w:i w:val="false"/>
          <w:color w:val="FFFFFF"/>
          <w:sz w:val="34"/>
        </w:rPr>
        <w:t>Cryptographie et</w:t>
      </w:r>
      <w:r>
        <w:rPr>
          <w:rFonts w:eastAsia="Arial" w:cs="Arial"/>
          <w:b w:val="false"/>
          <w:i w:val="false"/>
          <w:color w:val="FFFFFF"/>
          <w:sz w:val="34"/>
        </w:rPr>
        <w:br/>
      </w:r>
      <w:r>
        <w:rPr>
          <w:rFonts w:eastAsia="Arial" w:cs="Arial"/>
          <w:b/>
          <w:i w:val="false"/>
          <w:color w:val="FFFFFF"/>
          <w:sz w:val="34"/>
        </w:rPr>
        <w:t>gestion des clés</w:t>
      </w:r>
    </w:p>
    <w:p>
      <w:pPr>
        <w:pStyle w:val="Normal"/>
        <w:pBdr>
          <w:bottom w:val="single" w:sz="12" w:space="3" w:color="4F9B3E"/>
        </w:pBdr>
        <w:shd w:val="clear" w:fill="1F4E79"/>
        <w:spacing w:before="0" w:after="0"/>
        <w:jc w:val="center"/>
        <w:rPr/>
      </w:pPr>
      <w:r>
        <w:rPr>
          <w:rFonts w:eastAsia="Arial" w:cs="Arial"/>
          <w:b w:val="false"/>
          <w:i w:val="false"/>
          <w:color w:val="1F4E79"/>
          <w:sz w:val="12"/>
        </w:rPr>
        <w:br/>
      </w:r>
    </w:p>
    <w:p>
      <w:pPr>
        <w:pStyle w:val="Normal"/>
        <w:spacing w:before="200" w:after="80"/>
        <w:jc w:val="center"/>
        <w:rPr/>
      </w:pPr>
      <w:r>
        <w:rPr>
          <w:rFonts w:eastAsia="Arial" w:cs="Arial"/>
          <w:b w:val="false"/>
          <w:i w:val="false"/>
          <w:color w:val="606A78"/>
          <w:sz w:val="20"/>
        </w:rPr>
        <w:t>Procédure documentée du SMSI — ISO/IEC 27001:2022</w:t>
      </w:r>
    </w:p>
    <w:p>
      <w:pPr>
        <w:pStyle w:val="Normal"/>
        <w:pBdr>
          <w:top w:val="single" w:sz="4" w:space="3" w:color="E0EBF7"/>
          <w:left w:val="single" w:sz="4" w:space="3" w:color="E0EBF7"/>
          <w:bottom w:val="single" w:sz="4" w:space="3" w:color="E0EBF7"/>
          <w:right w:val="single" w:sz="4" w:space="3" w:color="E0EBF7"/>
        </w:pBdr>
        <w:shd w:val="clear" w:fill="F7FAFD"/>
        <w:spacing w:before="160" w:after="280"/>
        <w:jc w:val="center"/>
        <w:rPr/>
      </w:pPr>
      <w:r>
        <w:rPr>
          <w:rFonts w:eastAsia="Arial" w:cs="Arial"/>
          <w:b w:val="false"/>
          <w:i/>
          <w:color w:val="112C48"/>
          <w:sz w:val="18"/>
        </w:rPr>
        <w:t>Définir les usages autorisés de la cryptographie, les algorithmes et longueurs de clés admis, ainsi que les règles de gestion du cycle de vie des clés et des certificats, afin de garantir une protection effective et pére…</w:t>
      </w:r>
    </w:p>
    <w:p>
      <w:pPr>
        <w:pStyle w:val="Normal"/>
        <w:spacing w:before="280" w:after="80"/>
        <w:jc w:val="center"/>
        <w:rPr/>
      </w:pPr>
      <w:r>
        <w:rPr>
          <w:rFonts w:eastAsia="Arial" w:cs="Arial"/>
          <w:b w:val="false"/>
          <w:i w:val="false"/>
          <w:color w:val="606A78"/>
          <w:sz w:val="18"/>
        </w:rPr>
        <w:t>Organisme :</w:t>
      </w:r>
    </w:p>
    <w:p>
      <w:pPr>
        <w:pStyle w:val="Normal"/>
        <w:pBdr>
          <w:top w:val="dashed" w:sz="4" w:space="3" w:color="2E75B6"/>
          <w:left w:val="dashed" w:sz="4" w:space="3" w:color="2E75B6"/>
          <w:bottom w:val="dashed" w:sz="4" w:space="3" w:color="2E75B6"/>
          <w:right w:val="dashed" w:sz="4" w:space="3" w:color="2E75B6"/>
        </w:pBdr>
        <w:spacing w:before="0" w:after="0"/>
        <w:jc w:val="center"/>
        <w:rPr/>
      </w:pPr>
      <w:r>
        <w:rPr>
          <w:rFonts w:eastAsia="Arial" w:cs="Arial"/>
          <w:b w:val="false"/>
          <w:i/>
          <w:color w:val="606A78"/>
          <w:sz w:val="20"/>
        </w:rPr>
        <w:t xml:space="preserve">  </w:t>
      </w:r>
      <w:r>
        <w:rPr>
          <w:rFonts w:eastAsia="Arial" w:cs="Arial"/>
          <w:b w:val="false"/>
          <w:i/>
          <w:color w:val="606A78"/>
          <w:sz w:val="20"/>
        </w:rPr>
        <w:t xml:space="preserve">[LOGO CLIENT]        [NOM DE L'ORGANISME]  </w:t>
      </w:r>
    </w:p>
    <w:p>
      <w:pPr>
        <w:pStyle w:val="Normal"/>
        <w:spacing w:before="440" w:after="0"/>
        <w:jc w:val="center"/>
        <w:rPr/>
      </w:pPr>
      <w:r>
        <w:rPr>
          <w:rFonts w:eastAsia="Arial" w:cs="Arial"/>
          <w:b w:val="false"/>
          <w:i w:val="false"/>
          <w:color w:val="606A78"/>
          <w:sz w:val="18"/>
        </w:rPr>
        <w:t>PR-EXP-004   ·   Version 1.0   ·   Juillet 2026</w:t>
      </w:r>
    </w:p>
    <w:p>
      <w:pPr>
        <w:pStyle w:val="Normal"/>
        <w:spacing w:before="40" w:after="0"/>
        <w:jc w:val="center"/>
        <w:rPr/>
      </w:pPr>
      <w:r>
        <w:rPr>
          <w:rFonts w:eastAsia="Arial" w:cs="Arial"/>
          <w:b w:val="false"/>
          <w:i/>
          <w:color w:val="606A78"/>
          <w:sz w:val="16"/>
        </w:rPr>
        <w:t>Hub Engineering Management Consulting  ·  hem-consulting.com</w:t>
      </w:r>
    </w:p>
    <w:p>
      <w:pPr>
        <w:pStyle w:val="Normal"/>
        <w:rPr/>
      </w:pPr>
      <w:r>
        <w:rPr/>
      </w:r>
      <w:r>
        <w:br w:type="page"/>
      </w:r>
    </w:p>
    <w:p>
      <w:pPr>
        <w:pStyle w:val="Normal"/>
        <w:pBdr>
          <w:bottom w:val="single" w:sz="12" w:space="3" w:color="4F9B3E"/>
        </w:pBdr>
        <w:spacing w:before="0" w:after="160"/>
        <w:rPr/>
      </w:pPr>
      <w:r>
        <w:rPr>
          <w:rFonts w:eastAsia="Arial" w:cs="Arial"/>
          <w:b/>
          <w:i w:val="false"/>
          <w:color w:val="1F4E79"/>
          <w:sz w:val="28"/>
        </w:rPr>
        <w:t>Contrôle documentaire</w:t>
      </w:r>
    </w:p>
    <w:p>
      <w:pPr>
        <w:pStyle w:val="Heading2"/>
        <w:spacing w:before="200" w:after="100"/>
        <w:rPr/>
      </w:pPr>
      <w:bookmarkStart w:id="0" w:name="__RefHeading___Toc22289_3757726110"/>
      <w:bookmarkEnd w:id="0"/>
      <w:r>
        <w:rPr>
          <w:rFonts w:eastAsia="Arial" w:cs="Arial" w:ascii="Arial" w:hAnsi="Arial"/>
          <w:b/>
          <w:i w:val="false"/>
          <w:color w:val="2E75B6"/>
          <w:sz w:val="23"/>
        </w:rPr>
        <w:t>Cartouche</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1504"/>
        <w:gridCol w:w="1504"/>
        <w:gridCol w:w="1505"/>
        <w:gridCol w:w="1504"/>
        <w:gridCol w:w="1504"/>
        <w:gridCol w:w="1504"/>
      </w:tblGrid>
      <w:tr>
        <w:trPr>
          <w:tblHeader w:val="true"/>
        </w:trPr>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Code</w:t>
            </w:r>
          </w:p>
        </w:tc>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Version</w:t>
            </w:r>
          </w:p>
        </w:tc>
        <w:tc>
          <w:tcPr>
            <w:tcW w:w="1505"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Date</w:t>
            </w:r>
          </w:p>
        </w:tc>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Rédacteur</w:t>
            </w:r>
          </w:p>
        </w:tc>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Vérificateur</w:t>
            </w:r>
          </w:p>
        </w:tc>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Approbateur</w:t>
            </w:r>
          </w:p>
        </w:tc>
      </w:tr>
      <w:tr>
        <w:trPr/>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jc w:val="center"/>
              <w:rPr/>
            </w:pPr>
            <w:r>
              <w:rPr>
                <w:rFonts w:eastAsia="Arial" w:cs="Arial"/>
                <w:b w:val="false"/>
                <w:i w:val="false"/>
                <w:color w:val="1C2634"/>
                <w:sz w:val="19"/>
              </w:rPr>
              <w:t>PR-EXP-004</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1.0</w:t>
            </w:r>
          </w:p>
        </w:tc>
        <w:tc>
          <w:tcPr>
            <w:tcW w:w="1505"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Juillet 2026</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[RSSI]</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[Responsable SMSI]</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[Direction générale]</w:t>
            </w:r>
          </w:p>
        </w:tc>
      </w:tr>
    </w:tbl>
    <w:p>
      <w:pPr>
        <w:pStyle w:val="Normal"/>
        <w:spacing w:before="0" w:after="80"/>
        <w:rPr/>
      </w:pPr>
      <w:r>
        <w:rPr/>
      </w:r>
    </w:p>
    <w:p>
      <w:pPr>
        <w:pStyle w:val="Heading2"/>
        <w:spacing w:before="200" w:after="100"/>
        <w:rPr/>
      </w:pPr>
      <w:bookmarkStart w:id="1" w:name="__RefHeading___Toc22291_3757726110"/>
      <w:bookmarkEnd w:id="1"/>
      <w:r>
        <w:rPr>
          <w:rFonts w:eastAsia="Arial" w:cs="Arial" w:ascii="Arial" w:hAnsi="Arial"/>
          <w:b/>
          <w:i w:val="false"/>
          <w:color w:val="2E75B6"/>
          <w:sz w:val="23"/>
        </w:rPr>
        <w:t>Historique des révisions</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2256"/>
        <w:gridCol w:w="2257"/>
        <w:gridCol w:w="2256"/>
        <w:gridCol w:w="2256"/>
      </w:tblGrid>
      <w:tr>
        <w:trPr>
          <w:tblHeader w:val="true"/>
        </w:trPr>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Version</w:t>
            </w:r>
          </w:p>
        </w:tc>
        <w:tc>
          <w:tcPr>
            <w:tcW w:w="2257"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Date</w:t>
            </w:r>
          </w:p>
        </w:tc>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Nature de la modification</w:t>
            </w:r>
          </w:p>
        </w:tc>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Auteur</w:t>
            </w:r>
          </w:p>
        </w:tc>
      </w:tr>
      <w:tr>
        <w:trPr/>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jc w:val="center"/>
              <w:rPr/>
            </w:pPr>
            <w:r>
              <w:rPr>
                <w:rFonts w:eastAsia="Arial" w:cs="Arial"/>
                <w:b w:val="false"/>
                <w:i w:val="false"/>
                <w:color w:val="1C2634"/>
                <w:sz w:val="19"/>
              </w:rPr>
              <w:t>1.0</w:t>
            </w:r>
          </w:p>
        </w:tc>
        <w:tc>
          <w:tcPr>
            <w:tcW w:w="2257"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Juillet 2026</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Création de la procédure. Alignement ISO/IEC 27001:2022 et mesures de l'Annexe A concernées.</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[RSSI]</w:t>
            </w:r>
          </w:p>
        </w:tc>
      </w:tr>
      <w:tr>
        <w:trPr/>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jc w:val="center"/>
              <w:rPr/>
            </w:pPr>
            <w:r>
              <w:rPr/>
            </w:r>
          </w:p>
        </w:tc>
        <w:tc>
          <w:tcPr>
            <w:tcW w:w="2257"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
          </w:p>
        </w:tc>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
          </w:p>
        </w:tc>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
          </w:p>
        </w:tc>
      </w:tr>
    </w:tbl>
    <w:p>
      <w:pPr>
        <w:pStyle w:val="Normal"/>
        <w:spacing w:before="0" w:after="80"/>
        <w:rPr/>
      </w:pPr>
      <w:r>
        <w:rPr/>
      </w:r>
    </w:p>
    <w:p>
      <w:pPr>
        <w:pStyle w:val="Heading2"/>
        <w:spacing w:before="200" w:after="100"/>
        <w:rPr/>
      </w:pPr>
      <w:bookmarkStart w:id="2" w:name="__RefHeading___Toc22293_3757726110"/>
      <w:bookmarkEnd w:id="2"/>
      <w:r>
        <w:rPr>
          <w:rFonts w:eastAsia="Arial" w:cs="Arial" w:ascii="Arial" w:hAnsi="Arial"/>
          <w:b/>
          <w:i w:val="false"/>
          <w:color w:val="2E75B6"/>
          <w:sz w:val="23"/>
        </w:rPr>
        <w:t>Objet du document</w:t>
      </w:r>
    </w:p>
    <w:p>
      <w:pPr>
        <w:pStyle w:val="Normal"/>
        <w:spacing w:before="0" w:after="120"/>
        <w:jc w:val="both"/>
        <w:rPr/>
      </w:pPr>
      <w:r>
        <w:rPr>
          <w:rFonts w:eastAsia="Arial" w:cs="Arial"/>
          <w:b w:val="false"/>
          <w:i w:val="false"/>
          <w:color w:val="222222"/>
          <w:sz w:val="20"/>
        </w:rPr>
        <w:t>Définir les usages autorisés de la cryptographie, les algorithmes et longueurs de clés admis, ainsi que les règles de gestion du cycle de vie des clés et des certificats, afin de garantir une protection effective et pérenne des informations.</w:t>
      </w:r>
    </w:p>
    <w:p>
      <w:pPr>
        <w:pStyle w:val="Normal"/>
        <w:rPr/>
      </w:pPr>
      <w:r>
        <w:rPr/>
      </w:r>
      <w:r>
        <w:br w:type="page"/>
      </w:r>
    </w:p>
    <w:p>
      <w:pPr>
        <w:pStyle w:val="Normal"/>
        <w:pBdr>
          <w:bottom w:val="single" w:sz="12" w:space="3" w:color="4F9B3E"/>
        </w:pBdr>
        <w:spacing w:before="0" w:after="160"/>
        <w:rPr/>
      </w:pPr>
      <w:r>
        <w:rPr>
          <w:rFonts w:eastAsia="Arial" w:cs="Arial"/>
          <w:b/>
          <w:i w:val="false"/>
          <w:color w:val="1F4E79"/>
          <w:sz w:val="28"/>
        </w:rPr>
        <w:t>Sommaire</w:t>
      </w:r>
    </w:p>
    <w:p>
      <w:pPr>
        <w:pStyle w:val="Normal"/>
        <w:pBdr>
          <w:top w:val="single" w:sz="4" w:space="3" w:color="2E75B6"/>
          <w:left w:val="single" w:sz="20" w:space="3" w:color="2E75B6"/>
          <w:bottom w:val="single" w:sz="4" w:space="3" w:color="2E75B6"/>
          <w:right w:val="single" w:sz="4" w:space="3" w:color="2E75B6"/>
        </w:pBdr>
        <w:shd w:val="clear" w:fill="EAF2FA"/>
        <w:spacing w:before="80" w:after="140"/>
        <w:rPr/>
      </w:pPr>
      <w:r>
        <w:rPr>
          <w:rFonts w:eastAsia="Arial" w:cs="Arial"/>
          <w:b/>
          <w:i w:val="false"/>
          <w:color w:val="1B4C7A"/>
          <w:sz w:val="19"/>
        </w:rPr>
        <w:t>i  Sommaire automatique. Après toute modification : Ctrl+A puis F9 (ou clic droit ▸ « Mettre à jour les champs ») pour actualiser titres et pagination.</w:t>
      </w:r>
    </w:p>
    <w:sdt>
      <w:sdtPr>
        <w:docPartObj>
          <w:docPartGallery w:val="Table of Contents"/>
          <w:docPartUnique w:val="true"/>
        </w:docPartObj>
      </w:sdtPr>
      <w:sdtContent>
        <w:p>
          <w:pPr>
            <w:pStyle w:val="TOC2"/>
            <w:tabs>
              <w:tab w:val="clear" w:pos="9463"/>
              <w:tab w:val="right" w:pos="9745" w:leader="dot"/>
            </w:tabs>
            <w:rPr/>
          </w:pPr>
          <w:r>
            <w:fldChar w:fldCharType="begin"/>
          </w:r>
          <w:r>
            <w:rPr>
              <w:webHidden/>
              <w:rStyle w:val="IndexLink"/>
              <w:i w:val="false"/>
            </w:rPr>
            <w:instrText xml:space="preserve"> TOC \z \o "1-3" \u \h</w:instrText>
          </w:r>
          <w:r>
            <w:rPr>
              <w:webHidden/>
              <w:rStyle w:val="IndexLink"/>
              <w:i w:val="false"/>
            </w:rPr>
            <w:fldChar w:fldCharType="separate"/>
          </w:r>
          <w:hyperlink w:anchor="__RefHeading___Toc22289_3757726110">
            <w:r>
              <w:rPr>
                <w:webHidden/>
                <w:rStyle w:val="IndexLink"/>
                <w:i w:val="false"/>
              </w:rPr>
              <w:t>Cartouche</w:t>
            </w:r>
            <w:r>
              <w:rPr>
                <w:rStyle w:val="IndexLink"/>
              </w:rPr>
              <w:tab/>
              <w:t>2</w:t>
            </w:r>
          </w:hyperlink>
        </w:p>
        <w:p>
          <w:pPr>
            <w:pStyle w:val="TOC2"/>
            <w:tabs>
              <w:tab w:val="clear" w:pos="9463"/>
              <w:tab w:val="right" w:pos="9745" w:leader="dot"/>
            </w:tabs>
            <w:rPr/>
          </w:pPr>
          <w:hyperlink w:anchor="__RefHeading___Toc22291_3757726110">
            <w:r>
              <w:rPr>
                <w:webHidden/>
                <w:rStyle w:val="IndexLink"/>
                <w:i w:val="false"/>
              </w:rPr>
              <w:t>Historique des révisions</w:t>
            </w:r>
            <w:r>
              <w:rPr>
                <w:rStyle w:val="IndexLink"/>
              </w:rPr>
              <w:tab/>
              <w:t>2</w:t>
            </w:r>
          </w:hyperlink>
        </w:p>
        <w:p>
          <w:pPr>
            <w:pStyle w:val="TOC2"/>
            <w:tabs>
              <w:tab w:val="clear" w:pos="9463"/>
              <w:tab w:val="right" w:pos="9745" w:leader="dot"/>
            </w:tabs>
            <w:rPr/>
          </w:pPr>
          <w:hyperlink w:anchor="__RefHeading___Toc22293_3757726110">
            <w:r>
              <w:rPr>
                <w:webHidden/>
                <w:rStyle w:val="IndexLink"/>
                <w:i w:val="false"/>
              </w:rPr>
              <w:t>Objet du document</w:t>
            </w:r>
            <w:r>
              <w:rPr>
                <w:rStyle w:val="IndexLink"/>
              </w:rPr>
              <w:tab/>
              <w:t>2</w:t>
            </w:r>
          </w:hyperlink>
        </w:p>
        <w:p>
          <w:pPr>
            <w:pStyle w:val="TOC1"/>
            <w:tabs>
              <w:tab w:val="clear" w:pos="9746"/>
              <w:tab w:val="right" w:pos="9745" w:leader="dot"/>
            </w:tabs>
            <w:rPr/>
          </w:pPr>
          <w:hyperlink w:anchor="__RefHeading___Toc22295_3757726110">
            <w:r>
              <w:rPr>
                <w:webHidden/>
                <w:rStyle w:val="IndexLink"/>
                <w:i w:val="false"/>
              </w:rPr>
              <w:t>1. Objet</w:t>
            </w:r>
            <w:r>
              <w:rPr>
                <w:rStyle w:val="IndexLink"/>
              </w:rPr>
              <w:tab/>
              <w:t>4</w:t>
            </w:r>
          </w:hyperlink>
        </w:p>
        <w:p>
          <w:pPr>
            <w:pStyle w:val="TOC1"/>
            <w:tabs>
              <w:tab w:val="clear" w:pos="9746"/>
              <w:tab w:val="right" w:pos="9745" w:leader="dot"/>
            </w:tabs>
            <w:rPr/>
          </w:pPr>
          <w:hyperlink w:anchor="__RefHeading___Toc22297_3757726110">
            <w:r>
              <w:rPr>
                <w:webHidden/>
                <w:rStyle w:val="IndexLink"/>
                <w:i w:val="false"/>
              </w:rPr>
              <w:t>2. Domaine d'application</w:t>
            </w:r>
            <w:r>
              <w:rPr>
                <w:rStyle w:val="IndexLink"/>
              </w:rPr>
              <w:tab/>
              <w:t>4</w:t>
            </w:r>
          </w:hyperlink>
        </w:p>
        <w:p>
          <w:pPr>
            <w:pStyle w:val="TOC1"/>
            <w:tabs>
              <w:tab w:val="clear" w:pos="9746"/>
              <w:tab w:val="right" w:pos="9745" w:leader="dot"/>
            </w:tabs>
            <w:rPr/>
          </w:pPr>
          <w:hyperlink w:anchor="__RefHeading___Toc22299_3757726110">
            <w:r>
              <w:rPr>
                <w:webHidden/>
                <w:rStyle w:val="IndexLink"/>
                <w:i w:val="false"/>
              </w:rPr>
              <w:t>3. Références normatives et documentaires</w:t>
            </w:r>
            <w:r>
              <w:rPr>
                <w:rStyle w:val="IndexLink"/>
              </w:rPr>
              <w:tab/>
              <w:t>4</w:t>
            </w:r>
          </w:hyperlink>
        </w:p>
        <w:p>
          <w:pPr>
            <w:pStyle w:val="TOC1"/>
            <w:tabs>
              <w:tab w:val="clear" w:pos="9746"/>
              <w:tab w:val="right" w:pos="9745" w:leader="dot"/>
            </w:tabs>
            <w:rPr/>
          </w:pPr>
          <w:hyperlink w:anchor="__RefHeading___Toc22301_3757726110">
            <w:r>
              <w:rPr>
                <w:webHidden/>
                <w:rStyle w:val="IndexLink"/>
                <w:i w:val="false"/>
              </w:rPr>
              <w:t>4. Termes et définitions</w:t>
            </w:r>
            <w:r>
              <w:rPr>
                <w:rStyle w:val="IndexLink"/>
              </w:rPr>
              <w:tab/>
              <w:t>4</w:t>
            </w:r>
          </w:hyperlink>
        </w:p>
        <w:p>
          <w:pPr>
            <w:pStyle w:val="TOC1"/>
            <w:tabs>
              <w:tab w:val="clear" w:pos="9746"/>
              <w:tab w:val="right" w:pos="9745" w:leader="dot"/>
            </w:tabs>
            <w:rPr/>
          </w:pPr>
          <w:hyperlink w:anchor="__RefHeading___Toc22303_3757726110">
            <w:r>
              <w:rPr>
                <w:webHidden/>
                <w:rStyle w:val="IndexLink"/>
                <w:i w:val="false"/>
              </w:rPr>
              <w:t>5. Maîtrise du document</w:t>
            </w:r>
            <w:r>
              <w:rPr>
                <w:rStyle w:val="IndexLink"/>
              </w:rPr>
              <w:tab/>
              <w:t>5</w:t>
            </w:r>
          </w:hyperlink>
        </w:p>
        <w:p>
          <w:pPr>
            <w:pStyle w:val="TOC1"/>
            <w:tabs>
              <w:tab w:val="clear" w:pos="9746"/>
              <w:tab w:val="right" w:pos="9745" w:leader="dot"/>
            </w:tabs>
            <w:rPr/>
          </w:pPr>
          <w:hyperlink w:anchor="__RefHeading___Toc22305_3757726110">
            <w:r>
              <w:rPr>
                <w:webHidden/>
                <w:rStyle w:val="IndexLink"/>
                <w:i w:val="false"/>
              </w:rPr>
              <w:t>6. Description détaillée des activités</w:t>
            </w:r>
            <w:r>
              <w:rPr>
                <w:rStyle w:val="IndexLink"/>
              </w:rPr>
              <w:tab/>
              <w:t>6</w:t>
            </w:r>
          </w:hyperlink>
        </w:p>
        <w:p>
          <w:pPr>
            <w:pStyle w:val="TOC2"/>
            <w:tabs>
              <w:tab w:val="clear" w:pos="9463"/>
              <w:tab w:val="right" w:pos="9745" w:leader="dot"/>
            </w:tabs>
            <w:rPr/>
          </w:pPr>
          <w:hyperlink w:anchor="__RefHeading___Toc22307_3757726110">
            <w:r>
              <w:rPr>
                <w:webHidden/>
                <w:rStyle w:val="IndexLink"/>
                <w:i w:val="false"/>
              </w:rPr>
              <w:t>6.1 Usages obligatoires de la cryptographie</w:t>
            </w:r>
            <w:r>
              <w:rPr>
                <w:rStyle w:val="IndexLink"/>
              </w:rPr>
              <w:tab/>
              <w:t>6</w:t>
            </w:r>
          </w:hyperlink>
        </w:p>
        <w:p>
          <w:pPr>
            <w:pStyle w:val="TOC2"/>
            <w:tabs>
              <w:tab w:val="clear" w:pos="9463"/>
              <w:tab w:val="right" w:pos="9745" w:leader="dot"/>
            </w:tabs>
            <w:rPr/>
          </w:pPr>
          <w:hyperlink w:anchor="__RefHeading___Toc22309_3757726110">
            <w:r>
              <w:rPr>
                <w:webHidden/>
                <w:rStyle w:val="IndexLink"/>
                <w:i w:val="false"/>
              </w:rPr>
              <w:t>6.2 Algorithmes et longueurs de clés</w:t>
            </w:r>
            <w:r>
              <w:rPr>
                <w:rStyle w:val="IndexLink"/>
              </w:rPr>
              <w:tab/>
              <w:t>6</w:t>
            </w:r>
          </w:hyperlink>
        </w:p>
        <w:p>
          <w:pPr>
            <w:pStyle w:val="TOC2"/>
            <w:tabs>
              <w:tab w:val="clear" w:pos="9463"/>
              <w:tab w:val="right" w:pos="9745" w:leader="dot"/>
            </w:tabs>
            <w:rPr/>
          </w:pPr>
          <w:hyperlink w:anchor="__RefHeading___Toc22311_3757726110">
            <w:r>
              <w:rPr>
                <w:webHidden/>
                <w:rStyle w:val="IndexLink"/>
                <w:i w:val="false"/>
              </w:rPr>
              <w:t>6.3 Cycle de vie des clés</w:t>
            </w:r>
            <w:r>
              <w:rPr>
                <w:rStyle w:val="IndexLink"/>
              </w:rPr>
              <w:tab/>
              <w:t>6</w:t>
            </w:r>
          </w:hyperlink>
        </w:p>
        <w:p>
          <w:pPr>
            <w:pStyle w:val="TOC2"/>
            <w:tabs>
              <w:tab w:val="clear" w:pos="9463"/>
              <w:tab w:val="right" w:pos="9745" w:leader="dot"/>
            </w:tabs>
            <w:rPr/>
          </w:pPr>
          <w:hyperlink w:anchor="__RefHeading___Toc22313_3757726110">
            <w:r>
              <w:rPr>
                <w:webHidden/>
                <w:rStyle w:val="IndexLink"/>
                <w:i w:val="false"/>
              </w:rPr>
              <w:t>6.4 Gestion des certificats</w:t>
            </w:r>
            <w:r>
              <w:rPr>
                <w:rStyle w:val="IndexLink"/>
              </w:rPr>
              <w:tab/>
              <w:t>7</w:t>
            </w:r>
          </w:hyperlink>
        </w:p>
        <w:p>
          <w:pPr>
            <w:pStyle w:val="TOC2"/>
            <w:tabs>
              <w:tab w:val="clear" w:pos="9463"/>
              <w:tab w:val="right" w:pos="9745" w:leader="dot"/>
            </w:tabs>
            <w:rPr/>
          </w:pPr>
          <w:hyperlink w:anchor="__RefHeading___Toc22315_3757726110">
            <w:r>
              <w:rPr>
                <w:webHidden/>
                <w:rStyle w:val="IndexLink"/>
                <w:i w:val="false"/>
              </w:rPr>
              <w:t>6.5 Conformité légale</w:t>
            </w:r>
            <w:r>
              <w:rPr>
                <w:rStyle w:val="IndexLink"/>
              </w:rPr>
              <w:tab/>
              <w:t>7</w:t>
            </w:r>
          </w:hyperlink>
        </w:p>
        <w:p>
          <w:pPr>
            <w:pStyle w:val="TOC1"/>
            <w:tabs>
              <w:tab w:val="clear" w:pos="9746"/>
              <w:tab w:val="right" w:pos="9745" w:leader="dot"/>
            </w:tabs>
            <w:rPr/>
          </w:pPr>
          <w:hyperlink w:anchor="__RefHeading___Toc22317_3757726110">
            <w:r>
              <w:rPr>
                <w:webHidden/>
                <w:rStyle w:val="IndexLink"/>
                <w:i w:val="false"/>
              </w:rPr>
              <w:t>7. Rôles et responsabilités (RACI)</w:t>
            </w:r>
            <w:r>
              <w:rPr>
                <w:rStyle w:val="IndexLink"/>
              </w:rPr>
              <w:tab/>
              <w:t>7</w:t>
            </w:r>
          </w:hyperlink>
        </w:p>
        <w:p>
          <w:pPr>
            <w:pStyle w:val="TOC1"/>
            <w:tabs>
              <w:tab w:val="clear" w:pos="9746"/>
              <w:tab w:val="right" w:pos="9745" w:leader="dot"/>
            </w:tabs>
            <w:rPr/>
          </w:pPr>
          <w:hyperlink w:anchor="__RefHeading___Toc22319_3757726110">
            <w:r>
              <w:rPr>
                <w:webHidden/>
                <w:rStyle w:val="IndexLink"/>
                <w:i w:val="false"/>
              </w:rPr>
              <w:t>8. Logigramme</w:t>
            </w:r>
            <w:r>
              <w:rPr>
                <w:rStyle w:val="IndexLink"/>
              </w:rPr>
              <w:tab/>
              <w:t>8</w:t>
            </w:r>
          </w:hyperlink>
        </w:p>
        <w:p>
          <w:pPr>
            <w:pStyle w:val="TOC1"/>
            <w:tabs>
              <w:tab w:val="clear" w:pos="9746"/>
              <w:tab w:val="right" w:pos="9745" w:leader="dot"/>
            </w:tabs>
            <w:rPr/>
          </w:pPr>
          <w:hyperlink w:anchor="__RefHeading___Toc22321_3757726110">
            <w:r>
              <w:rPr>
                <w:webHidden/>
                <w:rStyle w:val="IndexLink"/>
                <w:i w:val="false"/>
              </w:rPr>
              <w:t>9. Documents et enregistrements associés</w:t>
            </w:r>
            <w:r>
              <w:rPr>
                <w:rStyle w:val="IndexLink"/>
              </w:rPr>
              <w:tab/>
              <w:t>10</w:t>
            </w:r>
          </w:hyperlink>
        </w:p>
        <w:p>
          <w:pPr>
            <w:pStyle w:val="TOC1"/>
            <w:tabs>
              <w:tab w:val="clear" w:pos="9746"/>
              <w:tab w:val="right" w:pos="9745" w:leader="dot"/>
            </w:tabs>
            <w:rPr/>
          </w:pPr>
          <w:hyperlink w:anchor="__RefHeading___Toc22323_3757726110">
            <w:r>
              <w:rPr>
                <w:webHidden/>
                <w:rStyle w:val="IndexLink"/>
                <w:i w:val="false"/>
              </w:rPr>
              <w:t>10. Historique des révisions</w:t>
            </w:r>
            <w:r>
              <w:rPr>
                <w:rStyle w:val="IndexLink"/>
              </w:rPr>
              <w:tab/>
              <w:t>10</w:t>
            </w:r>
          </w:hyperlink>
        </w:p>
        <w:p>
          <w:pPr>
            <w:pStyle w:val="TOC1"/>
            <w:tabs>
              <w:tab w:val="clear" w:pos="9746"/>
              <w:tab w:val="right" w:pos="9745" w:leader="dot"/>
            </w:tabs>
            <w:rPr/>
          </w:pPr>
          <w:hyperlink w:anchor="__RefHeading___Toc22325_3757726110">
            <w:r>
              <w:rPr>
                <w:webHidden/>
                <w:rStyle w:val="IndexLink"/>
                <w:i w:val="false"/>
              </w:rPr>
              <w:t>Approbation du document</w:t>
            </w:r>
            <w:r>
              <w:rPr>
                <w:rStyle w:val="IndexLink"/>
              </w:rPr>
              <w:tab/>
              <w:t>10</w:t>
            </w:r>
          </w:hyperlink>
          <w:r>
            <w:rPr>
              <w:rStyle w:val="IndexLink"/>
            </w:rPr>
            <w:fldChar w:fldCharType="end"/>
          </w:r>
        </w:p>
      </w:sdtContent>
    </w:sdt>
    <w:p>
      <w:pPr>
        <w:pStyle w:val="Normal"/>
        <w:widowControl/>
        <w:bidi w:val="0"/>
        <w:spacing w:lineRule="auto" w:line="268" w:before="0" w:after="120"/>
        <w:jc w:val="left"/>
        <w:rPr>
          <w:rFonts w:ascii="Arial" w:hAnsi="Arial" w:eastAsia="Arial" w:cs="Arial"/>
          <w:color w:val="222222"/>
          <w:sz w:val="20"/>
        </w:rPr>
      </w:pPr>
      <w:r>
        <w:rPr>
          <w:rFonts w:eastAsia="Arial" w:cs="Arial"/>
          <w:color w:val="222222"/>
          <w:sz w:val="20"/>
        </w:rPr>
      </w:r>
      <w:r>
        <w:br w:type="page"/>
      </w:r>
    </w:p>
    <w:p>
      <w:pPr>
        <w:pStyle w:val="Heading1"/>
        <w:pBdr>
          <w:left w:val="single" w:sz="24" w:space="3" w:color="4F9B3E"/>
          <w:bottom w:val="single" w:sz="6" w:space="3" w:color="E0EBF7"/>
        </w:pBdr>
        <w:shd w:val="clear" w:fill="F7FAFD"/>
        <w:spacing w:before="0" w:after="140"/>
        <w:ind w:left="113"/>
        <w:rPr/>
      </w:pPr>
      <w:bookmarkStart w:id="3" w:name="__RefHeading___Toc22295_3757726110"/>
      <w:bookmarkEnd w:id="3"/>
      <w:r>
        <w:rPr>
          <w:rFonts w:eastAsia="Arial" w:cs="Arial" w:ascii="Arial" w:hAnsi="Arial"/>
          <w:b/>
          <w:i w:val="false"/>
          <w:color w:val="1F4E79"/>
          <w:sz w:val="28"/>
        </w:rPr>
        <w:t>1. Objet</w:t>
      </w:r>
    </w:p>
    <w:p>
      <w:pPr>
        <w:pStyle w:val="Normal"/>
        <w:spacing w:before="0" w:after="120"/>
        <w:jc w:val="both"/>
        <w:rPr/>
      </w:pPr>
      <w:r>
        <w:rPr>
          <w:rFonts w:eastAsia="Arial" w:cs="Arial"/>
          <w:b w:val="false"/>
          <w:i w:val="false"/>
          <w:color w:val="222222"/>
          <w:sz w:val="20"/>
        </w:rPr>
        <w:t>Définir les usages autorisés de la cryptographie, les algorithmes et longueurs de clés admis, ainsi que les règles de gestion du cycle de vie des clés et des certificats, afin de garantir une protection effective et pérenne des informations.</w:t>
      </w:r>
    </w:p>
    <w:p>
      <w:pPr>
        <w:pStyle w:val="Normal"/>
        <w:spacing w:before="160" w:after="40"/>
        <w:rPr/>
      </w:pPr>
      <w:r>
        <w:rPr>
          <w:rFonts w:eastAsia="Arial" w:cs="Arial"/>
          <w:b/>
          <w:i w:val="false"/>
          <w:caps/>
          <w:color w:val="4F9B3E"/>
          <w:spacing w:val="30"/>
          <w:sz w:val="16"/>
        </w:rPr>
        <w:t>Mesures de l'Annexe A couvertes</w:t>
      </w:r>
    </w:p>
    <w:p>
      <w:pPr>
        <w:pStyle w:val="Normal"/>
        <w:spacing w:before="0" w:after="120"/>
        <w:rPr/>
      </w:pPr>
      <w:r>
        <w:rPr>
          <w:rFonts w:eastAsia="Arial" w:cs="Arial"/>
          <w:b w:val="false"/>
          <w:i w:val="false"/>
          <w:color w:val="112C48"/>
          <w:sz w:val="19"/>
        </w:rPr>
        <w:t>A.8.24 Utilisation de la cryptographie · A.5.31 Exigences légales · A.8.5 Authentification sécurisée · A.5.33 Protection des enregistrements</w:t>
      </w:r>
    </w:p>
    <w:p>
      <w:pPr>
        <w:pStyle w:val="Heading1"/>
        <w:pBdr>
          <w:left w:val="single" w:sz="24" w:space="3" w:color="4F9B3E"/>
          <w:bottom w:val="single" w:sz="6" w:space="3" w:color="E0EBF7"/>
        </w:pBdr>
        <w:shd w:val="clear" w:fill="F7FAFD"/>
        <w:spacing w:before="260" w:after="140"/>
        <w:ind w:left="113"/>
        <w:rPr/>
      </w:pPr>
      <w:bookmarkStart w:id="4" w:name="__RefHeading___Toc22297_3757726110"/>
      <w:bookmarkEnd w:id="4"/>
      <w:r>
        <w:rPr>
          <w:rFonts w:eastAsia="Arial" w:cs="Arial" w:ascii="Arial" w:hAnsi="Arial"/>
          <w:b/>
          <w:i w:val="false"/>
          <w:color w:val="1F4E79"/>
          <w:sz w:val="28"/>
        </w:rPr>
        <w:t>2. Domaine d'application</w:t>
      </w:r>
    </w:p>
    <w:p>
      <w:pPr>
        <w:pStyle w:val="Normal"/>
        <w:spacing w:before="0" w:after="120"/>
        <w:jc w:val="both"/>
        <w:rPr/>
      </w:pPr>
      <w:r>
        <w:rPr>
          <w:rFonts w:eastAsia="Arial" w:cs="Arial"/>
          <w:b w:val="false"/>
          <w:i w:val="false"/>
          <w:color w:val="222222"/>
          <w:sz w:val="20"/>
        </w:rPr>
        <w:t>Tous les usages cryptographiques du périmètre : chiffrement au repos et en transit, signature, authentification, certificats, secrets applicatifs.</w:t>
      </w:r>
    </w:p>
    <w:p>
      <w:pPr>
        <w:pStyle w:val="Heading1"/>
        <w:pBdr>
          <w:left w:val="single" w:sz="24" w:space="3" w:color="4F9B3E"/>
          <w:bottom w:val="single" w:sz="6" w:space="3" w:color="E0EBF7"/>
        </w:pBdr>
        <w:shd w:val="clear" w:fill="F7FAFD"/>
        <w:spacing w:before="260" w:after="140"/>
        <w:ind w:left="113"/>
        <w:rPr/>
      </w:pPr>
      <w:bookmarkStart w:id="5" w:name="__RefHeading___Toc22299_3757726110"/>
      <w:bookmarkEnd w:id="5"/>
      <w:r>
        <w:rPr>
          <w:rFonts w:eastAsia="Arial" w:cs="Arial" w:ascii="Arial" w:hAnsi="Arial"/>
          <w:b/>
          <w:i w:val="false"/>
          <w:color w:val="1F4E79"/>
          <w:sz w:val="28"/>
        </w:rPr>
        <w:t>3. Références normatives et documentaires</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4513"/>
        <w:gridCol w:w="4512"/>
      </w:tblGrid>
      <w:tr>
        <w:trPr>
          <w:tblHeader w:val="true"/>
        </w:trPr>
        <w:tc>
          <w:tcPr>
            <w:tcW w:w="4513"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Référence</w:t>
            </w:r>
          </w:p>
        </w:tc>
        <w:tc>
          <w:tcPr>
            <w:tcW w:w="4512"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Usage dans la présente procédure</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ISO/IEC 27001:2022 + Amd 1:2024</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Exigences du système de management de la sécurité de l'information</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ISO/IEC 27002:2022</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Guide de mise en œuvre des mesures de l'Annexe A</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MAN-SI-001</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Manuel du SMSI — cadre général et exigences</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PO-SI-001</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Politique de sécurité de l'information</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PR-ACT-001</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Exigences de chiffrement par niveau de classification</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S-CRY-001</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Registre des clés et des certificats</w:t>
            </w:r>
          </w:p>
        </w:tc>
      </w:tr>
    </w:tbl>
    <w:p>
      <w:pPr>
        <w:pStyle w:val="Normal"/>
        <w:spacing w:before="0" w:after="80"/>
        <w:rPr/>
      </w:pPr>
      <w:r>
        <w:rPr/>
      </w:r>
    </w:p>
    <w:p>
      <w:pPr>
        <w:pStyle w:val="Heading1"/>
        <w:pBdr>
          <w:left w:val="single" w:sz="24" w:space="3" w:color="4F9B3E"/>
          <w:bottom w:val="single" w:sz="6" w:space="3" w:color="E0EBF7"/>
        </w:pBdr>
        <w:shd w:val="clear" w:fill="F7FAFD"/>
        <w:spacing w:before="260" w:after="140"/>
        <w:ind w:left="113"/>
        <w:rPr/>
      </w:pPr>
      <w:bookmarkStart w:id="6" w:name="__RefHeading___Toc22301_3757726110"/>
      <w:bookmarkEnd w:id="6"/>
      <w:r>
        <w:rPr>
          <w:rFonts w:eastAsia="Arial" w:cs="Arial" w:ascii="Arial" w:hAnsi="Arial"/>
          <w:b/>
          <w:i w:val="false"/>
          <w:color w:val="1F4E79"/>
          <w:sz w:val="28"/>
        </w:rPr>
        <w:t>4. Termes et définitions</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4513"/>
        <w:gridCol w:w="4512"/>
      </w:tblGrid>
      <w:tr>
        <w:trPr>
          <w:tblHeader w:val="true"/>
        </w:trPr>
        <w:tc>
          <w:tcPr>
            <w:tcW w:w="4513"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Terme</w:t>
            </w:r>
          </w:p>
        </w:tc>
        <w:tc>
          <w:tcPr>
            <w:tcW w:w="4512"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Définition retenue</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Chiffrement au repos</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Protection des données stockées sur un support.</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Chiffrement en transit</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Protection des données lors de leur transmission sur un réseau.</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Clé cryptographique</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Élément secret ou public conditionnant une opération cryptographique.</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Certificat</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Attestation électronique liant une identité à une clé publique.</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Séquestre de clés</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Conservation sécurisée d'une copie de clé permettant la récupération des données en cas de perte.</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Rotation</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Remplacement périodique d'une clé afin de limiter l'impact d'une compromission.</w:t>
            </w:r>
          </w:p>
        </w:tc>
      </w:tr>
    </w:tbl>
    <w:p>
      <w:pPr>
        <w:pStyle w:val="Normal"/>
        <w:spacing w:before="0" w:after="80"/>
        <w:rPr/>
      </w:pPr>
      <w:r>
        <w:rPr/>
      </w:r>
    </w:p>
    <w:p>
      <w:pPr>
        <w:pStyle w:val="Heading1"/>
        <w:pBdr>
          <w:left w:val="single" w:sz="24" w:space="3" w:color="4F9B3E"/>
          <w:bottom w:val="single" w:sz="6" w:space="3" w:color="E0EBF7"/>
        </w:pBdr>
        <w:shd w:val="clear" w:fill="F7FAFD"/>
        <w:spacing w:before="260" w:after="140"/>
        <w:ind w:left="113"/>
        <w:rPr/>
      </w:pPr>
      <w:bookmarkStart w:id="7" w:name="__RefHeading___Toc22303_3757726110"/>
      <w:bookmarkEnd w:id="7"/>
      <w:r>
        <w:rPr>
          <w:rFonts w:eastAsia="Arial" w:cs="Arial" w:ascii="Arial" w:hAnsi="Arial"/>
          <w:b/>
          <w:i w:val="false"/>
          <w:color w:val="1F4E79"/>
          <w:sz w:val="28"/>
        </w:rPr>
        <w:t>5. Maîtrise du document</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4513"/>
        <w:gridCol w:w="4512"/>
      </w:tblGrid>
      <w:tr>
        <w:trPr/>
        <w:tc>
          <w:tcPr>
            <w:tcW w:w="4513" w:type="dxa"/>
            <w:tcBorders>
              <w:top w:val="single" w:sz="2" w:space="0" w:color="D9D9D9"/>
              <w:left w:val="single" w:sz="2" w:space="0" w:color="D9D9D9"/>
              <w:bottom w:val="single" w:sz="2" w:space="0" w:color="D9D9D9"/>
              <w:right w:val="single" w:sz="2" w:space="0" w:color="D9D9D9"/>
            </w:tcBorders>
            <w:shd w:fill="EEF4FA" w:val="clear"/>
            <w:vAlign w:val="center"/>
          </w:tcPr>
          <w:p>
            <w:pPr>
              <w:pStyle w:val="Normal"/>
              <w:spacing w:before="20" w:after="20"/>
              <w:rPr/>
            </w:pPr>
            <w:r>
              <w:rPr>
                <w:rFonts w:eastAsia="Arial" w:cs="Arial"/>
                <w:b/>
                <w:i w:val="false"/>
                <w:color w:val="1F4E79"/>
                <w:sz w:val="19"/>
              </w:rPr>
              <w:t>Code du document</w:t>
            </w:r>
          </w:p>
        </w:tc>
        <w:tc>
          <w:tcPr>
            <w:tcW w:w="451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before="20" w:after="20"/>
              <w:rPr/>
            </w:pPr>
            <w:r>
              <w:rPr>
                <w:rFonts w:eastAsia="Arial" w:cs="Arial"/>
                <w:b w:val="false"/>
                <w:i w:val="false"/>
                <w:color w:val="1C2634"/>
                <w:sz w:val="19"/>
              </w:rPr>
              <w:t>PR-EXP-004</w:t>
            </w:r>
          </w:p>
        </w:tc>
      </w:tr>
      <w:tr>
        <w:trPr/>
        <w:tc>
          <w:tcPr>
            <w:tcW w:w="4513" w:type="dxa"/>
            <w:tcBorders>
              <w:top w:val="single" w:sz="2" w:space="0" w:color="D9D9D9"/>
              <w:left w:val="single" w:sz="2" w:space="0" w:color="D9D9D9"/>
              <w:bottom w:val="single" w:sz="2" w:space="0" w:color="D9D9D9"/>
              <w:right w:val="single" w:sz="2" w:space="0" w:color="D9D9D9"/>
            </w:tcBorders>
            <w:shd w:fill="EEF4FA" w:val="clear"/>
            <w:vAlign w:val="center"/>
          </w:tcPr>
          <w:p>
            <w:pPr>
              <w:pStyle w:val="Normal"/>
              <w:spacing w:before="20" w:after="20"/>
              <w:rPr/>
            </w:pPr>
            <w:r>
              <w:rPr>
                <w:rFonts w:eastAsia="Arial" w:cs="Arial"/>
                <w:b/>
                <w:i w:val="false"/>
                <w:color w:val="1F4E79"/>
                <w:sz w:val="19"/>
              </w:rPr>
              <w:t>Version / Date</w:t>
            </w:r>
          </w:p>
        </w:tc>
        <w:tc>
          <w:tcPr>
            <w:tcW w:w="451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before="20" w:after="20"/>
              <w:rPr/>
            </w:pPr>
            <w:r>
              <w:rPr>
                <w:rFonts w:eastAsia="Arial" w:cs="Arial"/>
                <w:b w:val="false"/>
                <w:i w:val="false"/>
                <w:color w:val="1C2634"/>
                <w:sz w:val="19"/>
              </w:rPr>
              <w:t>1.0  ·  Juillet 2026</w:t>
            </w:r>
          </w:p>
        </w:tc>
      </w:tr>
      <w:tr>
        <w:trPr/>
        <w:tc>
          <w:tcPr>
            <w:tcW w:w="4513" w:type="dxa"/>
            <w:tcBorders>
              <w:top w:val="single" w:sz="2" w:space="0" w:color="D9D9D9"/>
              <w:left w:val="single" w:sz="2" w:space="0" w:color="D9D9D9"/>
              <w:bottom w:val="single" w:sz="2" w:space="0" w:color="D9D9D9"/>
              <w:right w:val="single" w:sz="2" w:space="0" w:color="D9D9D9"/>
            </w:tcBorders>
            <w:shd w:fill="EEF4FA" w:val="clear"/>
            <w:vAlign w:val="center"/>
          </w:tcPr>
          <w:p>
            <w:pPr>
              <w:pStyle w:val="Normal"/>
              <w:spacing w:before="20" w:after="20"/>
              <w:rPr/>
            </w:pPr>
            <w:r>
              <w:rPr>
                <w:rFonts w:eastAsia="Arial" w:cs="Arial"/>
                <w:b/>
                <w:i w:val="false"/>
                <w:color w:val="1F4E79"/>
                <w:sz w:val="19"/>
              </w:rPr>
              <w:t>Processus rattaché</w:t>
            </w:r>
          </w:p>
        </w:tc>
        <w:tc>
          <w:tcPr>
            <w:tcW w:w="451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before="20" w:after="20"/>
              <w:rPr/>
            </w:pPr>
            <w:r>
              <w:rPr>
                <w:rFonts w:eastAsia="Arial" w:cs="Arial"/>
                <w:b w:val="false"/>
                <w:i w:val="false"/>
                <w:color w:val="1C2634"/>
                <w:sz w:val="19"/>
              </w:rPr>
              <w:t>PC-EXP — Exploitation sécurisée</w:t>
            </w:r>
          </w:p>
        </w:tc>
      </w:tr>
      <w:tr>
        <w:trPr/>
        <w:tc>
          <w:tcPr>
            <w:tcW w:w="4513" w:type="dxa"/>
            <w:tcBorders>
              <w:top w:val="single" w:sz="2" w:space="0" w:color="D9D9D9"/>
              <w:left w:val="single" w:sz="2" w:space="0" w:color="D9D9D9"/>
              <w:bottom w:val="single" w:sz="2" w:space="0" w:color="D9D9D9"/>
              <w:right w:val="single" w:sz="2" w:space="0" w:color="D9D9D9"/>
            </w:tcBorders>
            <w:shd w:fill="EEF4FA" w:val="clear"/>
            <w:vAlign w:val="center"/>
          </w:tcPr>
          <w:p>
            <w:pPr>
              <w:pStyle w:val="Normal"/>
              <w:spacing w:before="20" w:after="20"/>
              <w:rPr/>
            </w:pPr>
            <w:r>
              <w:rPr>
                <w:rFonts w:eastAsia="Arial" w:cs="Arial"/>
                <w:b/>
                <w:i w:val="false"/>
                <w:color w:val="1F4E79"/>
                <w:sz w:val="19"/>
              </w:rPr>
              <w:t>Classification</w:t>
            </w:r>
          </w:p>
        </w:tc>
        <w:tc>
          <w:tcPr>
            <w:tcW w:w="451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before="20" w:after="20"/>
              <w:rPr/>
            </w:pPr>
            <w:r>
              <w:rPr>
                <w:rFonts w:eastAsia="Arial" w:cs="Arial"/>
                <w:b w:val="false"/>
                <w:i w:val="false"/>
                <w:color w:val="1C2634"/>
                <w:sz w:val="19"/>
              </w:rPr>
              <w:t>Interne — document contrôlé</w:t>
            </w:r>
          </w:p>
        </w:tc>
      </w:tr>
      <w:tr>
        <w:trPr/>
        <w:tc>
          <w:tcPr>
            <w:tcW w:w="4513" w:type="dxa"/>
            <w:tcBorders>
              <w:top w:val="single" w:sz="2" w:space="0" w:color="D9D9D9"/>
              <w:left w:val="single" w:sz="2" w:space="0" w:color="D9D9D9"/>
              <w:bottom w:val="single" w:sz="2" w:space="0" w:color="D9D9D9"/>
              <w:right w:val="single" w:sz="2" w:space="0" w:color="D9D9D9"/>
            </w:tcBorders>
            <w:shd w:fill="EEF4FA" w:val="clear"/>
            <w:vAlign w:val="center"/>
          </w:tcPr>
          <w:p>
            <w:pPr>
              <w:pStyle w:val="Normal"/>
              <w:spacing w:before="20" w:after="20"/>
              <w:rPr/>
            </w:pPr>
            <w:r>
              <w:rPr>
                <w:rFonts w:eastAsia="Arial" w:cs="Arial"/>
                <w:b/>
                <w:i w:val="false"/>
                <w:color w:val="1F4E79"/>
                <w:sz w:val="19"/>
              </w:rPr>
              <w:t>Périodicité de revue</w:t>
            </w:r>
          </w:p>
        </w:tc>
        <w:tc>
          <w:tcPr>
            <w:tcW w:w="451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before="20" w:after="20"/>
              <w:rPr/>
            </w:pPr>
            <w:r>
              <w:rPr>
                <w:rFonts w:eastAsia="Arial" w:cs="Arial"/>
                <w:b w:val="false"/>
                <w:i w:val="false"/>
                <w:color w:val="1C2634"/>
                <w:sz w:val="19"/>
              </w:rPr>
              <w:t>Annuelle, et après tout incident ou changement significatif</w:t>
            </w:r>
          </w:p>
        </w:tc>
      </w:tr>
      <w:tr>
        <w:trPr/>
        <w:tc>
          <w:tcPr>
            <w:tcW w:w="4513" w:type="dxa"/>
            <w:tcBorders>
              <w:top w:val="single" w:sz="2" w:space="0" w:color="D9D9D9"/>
              <w:left w:val="single" w:sz="2" w:space="0" w:color="D9D9D9"/>
              <w:bottom w:val="single" w:sz="2" w:space="0" w:color="D9D9D9"/>
              <w:right w:val="single" w:sz="2" w:space="0" w:color="D9D9D9"/>
            </w:tcBorders>
            <w:shd w:fill="EEF4FA" w:val="clear"/>
            <w:vAlign w:val="center"/>
          </w:tcPr>
          <w:p>
            <w:pPr>
              <w:pStyle w:val="Normal"/>
              <w:spacing w:before="20" w:after="20"/>
              <w:rPr/>
            </w:pPr>
            <w:r>
              <w:rPr>
                <w:rFonts w:eastAsia="Arial" w:cs="Arial"/>
                <w:b/>
                <w:i w:val="false"/>
                <w:color w:val="1F4E79"/>
                <w:sz w:val="19"/>
              </w:rPr>
              <w:t>Diffusion</w:t>
            </w:r>
          </w:p>
        </w:tc>
        <w:tc>
          <w:tcPr>
            <w:tcW w:w="4512" w:type="dxa"/>
            <w:tcBorders>
              <w:top w:val="single" w:sz="2" w:space="0" w:color="D9D9D9"/>
              <w:left w:val="single" w:sz="2" w:space="0" w:color="D9D9D9"/>
              <w:bottom w:val="single" w:sz="2" w:space="0" w:color="D9D9D9"/>
              <w:right w:val="single" w:sz="2" w:space="0" w:color="D9D9D9"/>
            </w:tcBorders>
            <w:shd w:fill="FFFFFF" w:val="clear"/>
            <w:vAlign w:val="center"/>
          </w:tcPr>
          <w:p>
            <w:pPr>
              <w:pStyle w:val="Normal"/>
              <w:spacing w:before="20" w:after="20"/>
              <w:rPr/>
            </w:pPr>
            <w:r>
              <w:rPr>
                <w:rFonts w:eastAsia="Arial" w:cs="Arial"/>
                <w:b w:val="false"/>
                <w:i w:val="false"/>
                <w:color w:val="1C2634"/>
                <w:sz w:val="19"/>
              </w:rPr>
              <w:t>Personnes concernées par le domaine d'application</w:t>
            </w:r>
          </w:p>
        </w:tc>
      </w:tr>
    </w:tbl>
    <w:p>
      <w:pPr>
        <w:pStyle w:val="Normal"/>
        <w:spacing w:before="0" w:after="80"/>
        <w:rPr/>
      </w:pPr>
      <w:r>
        <w:rPr/>
      </w:r>
    </w:p>
    <w:p>
      <w:pPr>
        <w:pStyle w:val="Normal"/>
        <w:rPr/>
      </w:pPr>
      <w:r>
        <w:rPr/>
      </w:r>
      <w:r>
        <w:br w:type="page"/>
      </w:r>
    </w:p>
    <w:p>
      <w:pPr>
        <w:pStyle w:val="Heading1"/>
        <w:pBdr>
          <w:left w:val="single" w:sz="24" w:space="3" w:color="4F9B3E"/>
          <w:bottom w:val="single" w:sz="6" w:space="3" w:color="E0EBF7"/>
        </w:pBdr>
        <w:shd w:val="clear" w:fill="F7FAFD"/>
        <w:spacing w:before="0" w:after="140"/>
        <w:ind w:left="113"/>
        <w:rPr/>
      </w:pPr>
      <w:bookmarkStart w:id="8" w:name="__RefHeading___Toc22305_3757726110"/>
      <w:bookmarkEnd w:id="8"/>
      <w:r>
        <w:rPr>
          <w:rFonts w:eastAsia="Arial" w:cs="Arial" w:ascii="Arial" w:hAnsi="Arial"/>
          <w:b/>
          <w:i w:val="false"/>
          <w:color w:val="1F4E79"/>
          <w:sz w:val="28"/>
        </w:rPr>
        <w:t>6. Description détaillée des activités</w:t>
      </w:r>
    </w:p>
    <w:p>
      <w:pPr>
        <w:pStyle w:val="Heading2"/>
        <w:spacing w:before="200" w:after="100"/>
        <w:rPr/>
      </w:pPr>
      <w:bookmarkStart w:id="9" w:name="__RefHeading___Toc22307_3757726110"/>
      <w:bookmarkEnd w:id="9"/>
      <w:r>
        <w:rPr>
          <w:rFonts w:eastAsia="Arial" w:cs="Arial" w:ascii="Arial" w:hAnsi="Arial"/>
          <w:b/>
          <w:i w:val="false"/>
          <w:color w:val="2E75B6"/>
          <w:sz w:val="23"/>
        </w:rPr>
        <w:t>6.1  Usages obligatoires de la cryptographie</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4513"/>
        <w:gridCol w:w="4512"/>
      </w:tblGrid>
      <w:tr>
        <w:trPr>
          <w:tblHeader w:val="true"/>
        </w:trPr>
        <w:tc>
          <w:tcPr>
            <w:tcW w:w="4513"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Situation</w:t>
            </w:r>
          </w:p>
        </w:tc>
        <w:tc>
          <w:tcPr>
            <w:tcW w:w="4512"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Exigence</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Poste de travail et terminal mobile</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Chiffrement intégral du support de stockage</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Support amovible contenant des données N3 ou N4</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Chiffrement du support ou du conteneur</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Transmission de données N3 ou N4 hors du réseau interne</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Canal chiffré ou fichier chiffré</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Accès distant au système d'information</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Tunnel chiffré et authentification multifacteur</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Service web exposé</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Chiffrement du transport avec certificat valide et configuration à jour</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Base de données contenant des données N4</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Chiffrement au repos et cloisonnement des accès</w:t>
            </w:r>
          </w:p>
        </w:tc>
      </w:tr>
      <w:tr>
        <w:trPr/>
        <w:tc>
          <w:tcPr>
            <w:tcW w:w="4513"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Sauvegarde</w:t>
            </w:r>
          </w:p>
        </w:tc>
        <w:tc>
          <w:tcPr>
            <w:tcW w:w="4512"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Chiffrement au repos et en transit</w:t>
            </w:r>
          </w:p>
        </w:tc>
      </w:tr>
      <w:tr>
        <w:trPr/>
        <w:tc>
          <w:tcPr>
            <w:tcW w:w="4513"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Secrets applicatifs</w:t>
            </w:r>
          </w:p>
        </w:tc>
        <w:tc>
          <w:tcPr>
            <w:tcW w:w="4512"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Conservation en coffre-fort, jamais en clair dans le code ou la configuration</w:t>
            </w:r>
          </w:p>
        </w:tc>
      </w:tr>
    </w:tbl>
    <w:p>
      <w:pPr>
        <w:pStyle w:val="Normal"/>
        <w:spacing w:before="0" w:after="80"/>
        <w:rPr/>
      </w:pPr>
      <w:r>
        <w:rPr/>
      </w:r>
    </w:p>
    <w:p>
      <w:pPr>
        <w:pStyle w:val="Heading2"/>
        <w:spacing w:before="200" w:after="100"/>
        <w:rPr/>
      </w:pPr>
      <w:bookmarkStart w:id="10" w:name="__RefHeading___Toc22309_3757726110"/>
      <w:bookmarkEnd w:id="10"/>
      <w:r>
        <w:rPr>
          <w:rFonts w:eastAsia="Arial" w:cs="Arial" w:ascii="Arial" w:hAnsi="Arial"/>
          <w:b/>
          <w:i w:val="false"/>
          <w:color w:val="2E75B6"/>
          <w:sz w:val="23"/>
        </w:rPr>
        <w:t>6.2  Algorithmes et longueurs de clés</w:t>
      </w:r>
    </w:p>
    <w:p>
      <w:pPr>
        <w:pStyle w:val="Normal"/>
        <w:spacing w:before="0" w:after="120"/>
        <w:jc w:val="both"/>
        <w:rPr/>
      </w:pPr>
      <w:r>
        <w:rPr>
          <w:rFonts w:eastAsia="Arial" w:cs="Arial"/>
          <w:b w:val="false"/>
          <w:i w:val="false"/>
          <w:color w:val="222222"/>
          <w:sz w:val="20"/>
        </w:rPr>
        <w:t>Seuls les algorithmes reconnus et les longueurs de clés considérées comme robustes à la date de mise en œuvre sont utilisés. Les algorithmes obsolètes sont proscrits et font l'objet d'un plan de migration lorsqu'ils subsistent.</w:t>
      </w:r>
    </w:p>
    <w:p>
      <w:pPr>
        <w:pStyle w:val="Normal"/>
        <w:spacing w:before="0" w:after="120"/>
        <w:jc w:val="both"/>
        <w:rPr/>
      </w:pPr>
      <w:r>
        <w:rPr>
          <w:rFonts w:eastAsia="Arial" w:cs="Arial"/>
          <w:b w:val="false"/>
          <w:i w:val="false"/>
          <w:color w:val="222222"/>
          <w:sz w:val="20"/>
        </w:rPr>
        <w:t>La liste des algorithmes autorisés est revue annuellement au regard des recommandations des autorités compétentes, notamment la DGSSI.</w:t>
      </w:r>
    </w:p>
    <w:p>
      <w:pPr>
        <w:pStyle w:val="Normal"/>
        <w:pBdr>
          <w:top w:val="single" w:sz="4" w:space="3" w:color="4F9B3E"/>
          <w:left w:val="single" w:sz="20" w:space="3" w:color="4F9B3E"/>
          <w:bottom w:val="single" w:sz="4" w:space="3" w:color="4F9B3E"/>
          <w:right w:val="single" w:sz="4" w:space="3" w:color="4F9B3E"/>
        </w:pBdr>
        <w:shd w:val="clear" w:fill="EDF6EA"/>
        <w:spacing w:before="80" w:after="140"/>
        <w:rPr/>
      </w:pPr>
      <w:r>
        <w:rPr>
          <w:rFonts w:eastAsia="Arial" w:cs="Arial"/>
          <w:b/>
          <w:i w:val="false"/>
          <w:color w:val="2D5B22"/>
          <w:sz w:val="19"/>
        </w:rPr>
        <w:t xml:space="preserve">✦  </w:t>
      </w:r>
      <w:r>
        <w:rPr>
          <w:rFonts w:eastAsia="Arial" w:cs="Arial"/>
          <w:b/>
          <w:i w:val="false"/>
          <w:color w:val="2D5B22"/>
          <w:sz w:val="19"/>
        </w:rPr>
        <w:t>Une politique cryptographique qui fige des algorithmes précis vieillit mal. Formuler la règle par référence aux recommandations en vigueur des autorités, avec une revue annuelle documentée, est plus robuste et mieux perçu en audit.</w:t>
      </w:r>
    </w:p>
    <w:p>
      <w:pPr>
        <w:pStyle w:val="Heading2"/>
        <w:spacing w:before="200" w:after="100"/>
        <w:rPr/>
      </w:pPr>
      <w:bookmarkStart w:id="11" w:name="__RefHeading___Toc22311_3757726110"/>
      <w:bookmarkEnd w:id="11"/>
      <w:r>
        <w:rPr>
          <w:rFonts w:eastAsia="Arial" w:cs="Arial" w:ascii="Arial" w:hAnsi="Arial"/>
          <w:b/>
          <w:i w:val="false"/>
          <w:color w:val="2E75B6"/>
          <w:sz w:val="23"/>
        </w:rPr>
        <w:t>6.3  Cycle de vie des clés</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3008"/>
        <w:gridCol w:w="3009"/>
        <w:gridCol w:w="3009"/>
      </w:tblGrid>
      <w:tr>
        <w:trPr>
          <w:tblHeader w:val="true"/>
        </w:trPr>
        <w:tc>
          <w:tcPr>
            <w:tcW w:w="3008"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Étape</w:t>
            </w:r>
          </w:p>
        </w:tc>
        <w:tc>
          <w:tcPr>
            <w:tcW w:w="3009"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Règle appliquée</w:t>
            </w:r>
          </w:p>
        </w:tc>
        <w:tc>
          <w:tcPr>
            <w:tcW w:w="3009"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Traçabilité</w:t>
            </w:r>
          </w:p>
        </w:tc>
      </w:tr>
      <w:tr>
        <w:trPr/>
        <w:tc>
          <w:tcPr>
            <w:tcW w:w="3008"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Génération</w:t>
            </w:r>
          </w:p>
        </w:tc>
        <w:tc>
          <w:tcPr>
            <w:tcW w:w="3009"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Génération sur un système de confiance, avec une source d'aléa adéquate ; jamais par un moyen improvisé</w:t>
            </w:r>
          </w:p>
        </w:tc>
        <w:tc>
          <w:tcPr>
            <w:tcW w:w="3009"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S-CRY-001</w:t>
            </w:r>
          </w:p>
        </w:tc>
      </w:tr>
      <w:tr>
        <w:trPr/>
        <w:tc>
          <w:tcPr>
            <w:tcW w:w="3008"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Distribution</w:t>
            </w:r>
          </w:p>
        </w:tc>
        <w:tc>
          <w:tcPr>
            <w:tcW w:w="3009"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Transmission par un canal distinct du message protégé ; vérification de l'identité du destinataire</w:t>
            </w:r>
          </w:p>
        </w:tc>
        <w:tc>
          <w:tcPr>
            <w:tcW w:w="3009"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S-CRY-001</w:t>
            </w:r>
          </w:p>
        </w:tc>
      </w:tr>
      <w:tr>
        <w:trPr/>
        <w:tc>
          <w:tcPr>
            <w:tcW w:w="3008"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Stockage</w:t>
            </w:r>
          </w:p>
        </w:tc>
        <w:tc>
          <w:tcPr>
            <w:tcW w:w="3009"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Coffre-fort de secrets ou module matériel ; accès nominatif et journalisé</w:t>
            </w:r>
          </w:p>
        </w:tc>
        <w:tc>
          <w:tcPr>
            <w:tcW w:w="3009"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Journaux d'accès</w:t>
            </w:r>
          </w:p>
        </w:tc>
      </w:tr>
      <w:tr>
        <w:trPr/>
        <w:tc>
          <w:tcPr>
            <w:tcW w:w="3008"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Utilisation</w:t>
            </w:r>
          </w:p>
        </w:tc>
        <w:tc>
          <w:tcPr>
            <w:tcW w:w="3009"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Une clé, un usage ; interdiction de réemploi entre environnements</w:t>
            </w:r>
          </w:p>
        </w:tc>
        <w:tc>
          <w:tcPr>
            <w:tcW w:w="3009"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S-CRY-001</w:t>
            </w:r>
          </w:p>
        </w:tc>
      </w:tr>
      <w:tr>
        <w:trPr/>
        <w:tc>
          <w:tcPr>
            <w:tcW w:w="3008"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Rotation</w:t>
            </w:r>
          </w:p>
        </w:tc>
        <w:tc>
          <w:tcPr>
            <w:tcW w:w="3009"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Rotation périodique définie par usage, et immédiate en cas de suspicion de compromission</w:t>
            </w:r>
          </w:p>
        </w:tc>
        <w:tc>
          <w:tcPr>
            <w:tcW w:w="3009"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S-CRY-001</w:t>
            </w:r>
          </w:p>
        </w:tc>
      </w:tr>
      <w:tr>
        <w:trPr/>
        <w:tc>
          <w:tcPr>
            <w:tcW w:w="3008"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Séquestre</w:t>
            </w:r>
          </w:p>
        </w:tc>
        <w:tc>
          <w:tcPr>
            <w:tcW w:w="3009"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Copie de récupération conservée séparément, sous contrôle dual, pour les données dont la perte serait critique</w:t>
            </w:r>
          </w:p>
        </w:tc>
        <w:tc>
          <w:tcPr>
            <w:tcW w:w="3009"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Procès-verbal</w:t>
            </w:r>
          </w:p>
        </w:tc>
      </w:tr>
      <w:tr>
        <w:trPr/>
        <w:tc>
          <w:tcPr>
            <w:tcW w:w="3008"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Révocation et destruction</w:t>
            </w:r>
          </w:p>
        </w:tc>
        <w:tc>
          <w:tcPr>
            <w:tcW w:w="3009"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Révocation immédiate en cas de compromission ; destruction sécurisée en fin de vie</w:t>
            </w:r>
          </w:p>
        </w:tc>
        <w:tc>
          <w:tcPr>
            <w:tcW w:w="3009"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S-CRY-001</w:t>
            </w:r>
          </w:p>
        </w:tc>
      </w:tr>
    </w:tbl>
    <w:p>
      <w:pPr>
        <w:pStyle w:val="Normal"/>
        <w:spacing w:before="0" w:after="80"/>
        <w:rPr/>
      </w:pPr>
      <w:r>
        <w:rPr/>
      </w:r>
    </w:p>
    <w:p>
      <w:pPr>
        <w:pStyle w:val="Heading2"/>
        <w:spacing w:before="200" w:after="100"/>
        <w:rPr/>
      </w:pPr>
      <w:bookmarkStart w:id="12" w:name="__RefHeading___Toc22313_3757726110"/>
      <w:bookmarkEnd w:id="12"/>
      <w:r>
        <w:rPr>
          <w:rFonts w:eastAsia="Arial" w:cs="Arial" w:ascii="Arial" w:hAnsi="Arial"/>
          <w:b/>
          <w:i w:val="false"/>
          <w:color w:val="2E75B6"/>
          <w:sz w:val="23"/>
        </w:rPr>
        <w:t>6.4  Gestion des certificats</w:t>
      </w:r>
    </w:p>
    <w:p>
      <w:pPr>
        <w:pStyle w:val="Normal"/>
        <w:spacing w:before="0" w:after="120"/>
        <w:jc w:val="both"/>
        <w:rPr/>
      </w:pPr>
      <w:r>
        <w:rPr>
          <w:rFonts w:eastAsia="Arial" w:cs="Arial"/>
          <w:b w:val="false"/>
          <w:i w:val="false"/>
          <w:color w:val="222222"/>
          <w:sz w:val="20"/>
        </w:rPr>
        <w:t>Les certificats utilisés sont inventoriés avec leur date d'expiration, leur propriétaire et leur usage. Une alerte est déclenchée au minimum 30 jours avant expiration. L'expiration non anticipée d'un certificat est traitée comme un incident de disponibilité.</w:t>
      </w:r>
    </w:p>
    <w:p>
      <w:pPr>
        <w:pStyle w:val="Heading2"/>
        <w:spacing w:before="200" w:after="100"/>
        <w:rPr/>
      </w:pPr>
      <w:bookmarkStart w:id="13" w:name="__RefHeading___Toc22315_3757726110"/>
      <w:bookmarkEnd w:id="13"/>
      <w:r>
        <w:rPr>
          <w:rFonts w:eastAsia="Arial" w:cs="Arial" w:ascii="Arial" w:hAnsi="Arial"/>
          <w:b/>
          <w:i w:val="false"/>
          <w:color w:val="2E75B6"/>
          <w:sz w:val="23"/>
        </w:rPr>
        <w:t>6.5  Conformité légale</w:t>
      </w:r>
    </w:p>
    <w:p>
      <w:pPr>
        <w:pStyle w:val="Normal"/>
        <w:spacing w:before="0" w:after="120"/>
        <w:jc w:val="both"/>
        <w:rPr/>
      </w:pPr>
      <w:r>
        <w:rPr>
          <w:rFonts w:eastAsia="Arial" w:cs="Arial"/>
          <w:b w:val="false"/>
          <w:i w:val="false"/>
          <w:color w:val="222222"/>
          <w:sz w:val="20"/>
        </w:rPr>
        <w:t>L'usage de la cryptographie respecte les exigences légales applicables, notamment en matière de déclaration, d'importation et d'exportation de moyens cryptographiques, ainsi que les obligations relatives aux services de confiance numériques.</w:t>
      </w:r>
    </w:p>
    <w:p>
      <w:pPr>
        <w:pStyle w:val="Heading1"/>
        <w:pBdr>
          <w:left w:val="single" w:sz="24" w:space="3" w:color="4F9B3E"/>
          <w:bottom w:val="single" w:sz="6" w:space="3" w:color="E0EBF7"/>
        </w:pBdr>
        <w:shd w:val="clear" w:fill="F7FAFD"/>
        <w:spacing w:before="260" w:after="140"/>
        <w:ind w:left="113"/>
        <w:rPr/>
      </w:pPr>
      <w:bookmarkStart w:id="14" w:name="__RefHeading___Toc22317_3757726110"/>
      <w:bookmarkEnd w:id="14"/>
      <w:r>
        <w:rPr>
          <w:rFonts w:eastAsia="Arial" w:cs="Arial" w:ascii="Arial" w:hAnsi="Arial"/>
          <w:b/>
          <w:i w:val="false"/>
          <w:color w:val="1F4E79"/>
          <w:sz w:val="28"/>
        </w:rPr>
        <w:t>7. Rôles et responsabilités (RACI)</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1504"/>
        <w:gridCol w:w="1504"/>
        <w:gridCol w:w="1505"/>
        <w:gridCol w:w="1504"/>
        <w:gridCol w:w="1504"/>
        <w:gridCol w:w="1504"/>
      </w:tblGrid>
      <w:tr>
        <w:trPr>
          <w:tblHeader w:val="true"/>
        </w:trPr>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8"/>
              </w:rPr>
              <w:t>Activité</w:t>
            </w:r>
          </w:p>
        </w:tc>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8"/>
              </w:rPr>
              <w:t>RSSI</w:t>
            </w:r>
          </w:p>
        </w:tc>
        <w:tc>
          <w:tcPr>
            <w:tcW w:w="1505"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8"/>
              </w:rPr>
              <w:t>DSI</w:t>
            </w:r>
          </w:p>
        </w:tc>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8"/>
              </w:rPr>
              <w:t>Admin</w:t>
            </w:r>
          </w:p>
        </w:tc>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8"/>
              </w:rPr>
              <w:t>Dévelop.</w:t>
            </w:r>
          </w:p>
        </w:tc>
        <w:tc>
          <w:tcPr>
            <w:tcW w:w="1504"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8"/>
              </w:rPr>
              <w:t>Juridique</w:t>
            </w:r>
          </w:p>
        </w:tc>
      </w:tr>
      <w:tr>
        <w:trPr/>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8"/>
              </w:rPr>
              <w:t>Définir la politique cryptographique</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A</w:t>
            </w:r>
          </w:p>
        </w:tc>
        <w:tc>
          <w:tcPr>
            <w:tcW w:w="1505"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r>
      <w:tr>
        <w:trPr/>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8"/>
              </w:rPr>
              <w:t>Valider les algorithmes autorisés</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A</w:t>
            </w:r>
          </w:p>
        </w:tc>
        <w:tc>
          <w:tcPr>
            <w:tcW w:w="1505"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I</w:t>
            </w:r>
          </w:p>
        </w:tc>
      </w:tr>
      <w:tr>
        <w:trPr/>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8"/>
              </w:rPr>
              <w:t>Générer et distribuer les clés</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c>
          <w:tcPr>
            <w:tcW w:w="1505"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A</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I</w:t>
            </w:r>
          </w:p>
        </w:tc>
      </w:tr>
      <w:tr>
        <w:trPr/>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8"/>
              </w:rPr>
              <w:t>Stocker les secrets en coffre-fort</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A</w:t>
            </w:r>
          </w:p>
        </w:tc>
        <w:tc>
          <w:tcPr>
            <w:tcW w:w="1505"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I</w:t>
            </w:r>
          </w:p>
        </w:tc>
      </w:tr>
      <w:tr>
        <w:trPr/>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8"/>
              </w:rPr>
              <w:t>Assurer la rotation des clés</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A</w:t>
            </w:r>
          </w:p>
        </w:tc>
        <w:tc>
          <w:tcPr>
            <w:tcW w:w="1505"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I</w:t>
            </w:r>
          </w:p>
        </w:tc>
      </w:tr>
      <w:tr>
        <w:trPr/>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8"/>
              </w:rPr>
              <w:t>Gérer les certificats et leurs échéances</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C</w:t>
            </w:r>
          </w:p>
        </w:tc>
        <w:tc>
          <w:tcPr>
            <w:tcW w:w="1505"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A</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I</w:t>
            </w:r>
          </w:p>
        </w:tc>
      </w:tr>
      <w:tr>
        <w:trPr/>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8"/>
              </w:rPr>
              <w:t>Organiser le séquestre</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A</w:t>
            </w:r>
          </w:p>
        </w:tc>
        <w:tc>
          <w:tcPr>
            <w:tcW w:w="1505"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I</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r>
      <w:tr>
        <w:trPr/>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8"/>
              </w:rPr>
              <w:t>Révoquer en cas de compromission</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A</w:t>
            </w:r>
          </w:p>
        </w:tc>
        <w:tc>
          <w:tcPr>
            <w:tcW w:w="1505"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R</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i w:val="false"/>
                <w:color w:val="1C2634"/>
                <w:sz w:val="18"/>
              </w:rPr>
              <w:t>I</w:t>
            </w:r>
          </w:p>
        </w:tc>
      </w:tr>
      <w:tr>
        <w:trPr/>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8"/>
              </w:rPr>
              <w:t>Vérifier la conformité légale</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R</w:t>
            </w:r>
          </w:p>
        </w:tc>
        <w:tc>
          <w:tcPr>
            <w:tcW w:w="1505"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C</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I</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I</w:t>
            </w:r>
          </w:p>
        </w:tc>
        <w:tc>
          <w:tcPr>
            <w:tcW w:w="1504"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8"/>
              </w:rPr>
              <w:t>A</w:t>
            </w:r>
          </w:p>
        </w:tc>
      </w:tr>
    </w:tbl>
    <w:p>
      <w:pPr>
        <w:pStyle w:val="Normal"/>
        <w:spacing w:before="0" w:after="80"/>
        <w:rPr/>
      </w:pPr>
      <w:r>
        <w:rPr/>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2256"/>
        <w:gridCol w:w="2257"/>
        <w:gridCol w:w="2256"/>
        <w:gridCol w:w="2256"/>
      </w:tblGrid>
      <w:tr>
        <w:trPr>
          <w:tblHeader w:val="true"/>
        </w:trPr>
        <w:tc>
          <w:tcPr>
            <w:tcW w:w="2256" w:type="dxa"/>
            <w:tcBorders>
              <w:top w:val="single" w:sz="2" w:space="0" w:color="BFBFBF"/>
              <w:left w:val="single" w:sz="2" w:space="0" w:color="D9D9D9"/>
              <w:bottom w:val="single" w:sz="8" w:space="0" w:color="4F9B3E"/>
              <w:right w:val="single" w:sz="2" w:space="0" w:color="D9D9D9"/>
            </w:tcBorders>
            <w:shd w:fill="FFFFFF" w:val="clear"/>
            <w:vAlign w:val="center"/>
          </w:tcPr>
          <w:p>
            <w:pPr>
              <w:pStyle w:val="Normal"/>
              <w:spacing w:before="20" w:after="20"/>
              <w:jc w:val="center"/>
              <w:rPr/>
            </w:pPr>
            <w:r>
              <w:rPr/>
            </w:r>
          </w:p>
        </w:tc>
        <w:tc>
          <w:tcPr>
            <w:tcW w:w="2257" w:type="dxa"/>
            <w:tcBorders>
              <w:top w:val="single" w:sz="2" w:space="0" w:color="BFBFBF"/>
              <w:left w:val="single" w:sz="2" w:space="0" w:color="D9D9D9"/>
              <w:bottom w:val="single" w:sz="8" w:space="0" w:color="4F9B3E"/>
              <w:right w:val="single" w:sz="2" w:space="0" w:color="D9D9D9"/>
            </w:tcBorders>
            <w:shd w:fill="FFFFFF" w:val="clear"/>
            <w:vAlign w:val="center"/>
          </w:tcPr>
          <w:p>
            <w:pPr>
              <w:pStyle w:val="Normal"/>
              <w:spacing w:before="20" w:after="20"/>
              <w:jc w:val="center"/>
              <w:rPr/>
            </w:pPr>
            <w:r>
              <w:rPr/>
            </w:r>
          </w:p>
        </w:tc>
        <w:tc>
          <w:tcPr>
            <w:tcW w:w="2256" w:type="dxa"/>
            <w:tcBorders>
              <w:top w:val="single" w:sz="2" w:space="0" w:color="BFBFBF"/>
              <w:left w:val="single" w:sz="2" w:space="0" w:color="D9D9D9"/>
              <w:bottom w:val="single" w:sz="8" w:space="0" w:color="4F9B3E"/>
              <w:right w:val="single" w:sz="2" w:space="0" w:color="D9D9D9"/>
            </w:tcBorders>
            <w:shd w:fill="FFFFFF" w:val="clear"/>
            <w:vAlign w:val="center"/>
          </w:tcPr>
          <w:p>
            <w:pPr>
              <w:pStyle w:val="Normal"/>
              <w:spacing w:before="20" w:after="20"/>
              <w:jc w:val="center"/>
              <w:rPr/>
            </w:pPr>
            <w:r>
              <w:rPr/>
            </w:r>
          </w:p>
        </w:tc>
        <w:tc>
          <w:tcPr>
            <w:tcW w:w="2256" w:type="dxa"/>
            <w:tcBorders>
              <w:top w:val="single" w:sz="2" w:space="0" w:color="BFBFBF"/>
              <w:left w:val="single" w:sz="2" w:space="0" w:color="D9D9D9"/>
              <w:bottom w:val="single" w:sz="8" w:space="0" w:color="4F9B3E"/>
              <w:right w:val="single" w:sz="2" w:space="0" w:color="D9D9D9"/>
            </w:tcBorders>
            <w:shd w:fill="FFFFFF" w:val="clear"/>
            <w:vAlign w:val="center"/>
          </w:tcPr>
          <w:p>
            <w:pPr>
              <w:pStyle w:val="Normal"/>
              <w:spacing w:before="20" w:after="20"/>
              <w:jc w:val="center"/>
              <w:rPr/>
            </w:pPr>
            <w:r>
              <w:rPr/>
            </w:r>
          </w:p>
        </w:tc>
      </w:tr>
      <w:tr>
        <w:trPr/>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7"/>
              </w:rPr>
              <w:t>R — Responsable</w:t>
            </w:r>
          </w:p>
          <w:p>
            <w:pPr>
              <w:pStyle w:val="Normal"/>
              <w:spacing w:before="0" w:after="20"/>
              <w:rPr/>
            </w:pPr>
            <w:r>
              <w:rPr>
                <w:rFonts w:eastAsia="Arial" w:cs="Arial"/>
                <w:b w:val="false"/>
                <w:i w:val="false"/>
                <w:color w:val="1C2634"/>
                <w:sz w:val="17"/>
              </w:rPr>
              <w:t>Réalise l'activité</w:t>
            </w:r>
          </w:p>
        </w:tc>
        <w:tc>
          <w:tcPr>
            <w:tcW w:w="2257"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7"/>
              </w:rPr>
              <w:t>A — Autorité</w:t>
            </w:r>
          </w:p>
          <w:p>
            <w:pPr>
              <w:pStyle w:val="Normal"/>
              <w:spacing w:before="0" w:after="20"/>
              <w:rPr/>
            </w:pPr>
            <w:r>
              <w:rPr>
                <w:rFonts w:eastAsia="Arial" w:cs="Arial"/>
                <w:b w:val="false"/>
                <w:i w:val="false"/>
                <w:color w:val="1C2634"/>
                <w:sz w:val="17"/>
              </w:rPr>
              <w:t>Approuve et rend compte</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7"/>
              </w:rPr>
              <w:t>C — Consulté</w:t>
            </w:r>
          </w:p>
          <w:p>
            <w:pPr>
              <w:pStyle w:val="Normal"/>
              <w:spacing w:before="0" w:after="20"/>
              <w:rPr/>
            </w:pPr>
            <w:r>
              <w:rPr>
                <w:rFonts w:eastAsia="Arial" w:cs="Arial"/>
                <w:b w:val="false"/>
                <w:i w:val="false"/>
                <w:color w:val="1C2634"/>
                <w:sz w:val="17"/>
              </w:rPr>
              <w:t>Donne un avis avant décision</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i w:val="false"/>
                <w:color w:val="1C2634"/>
                <w:sz w:val="17"/>
              </w:rPr>
              <w:t>I — Informé</w:t>
            </w:r>
          </w:p>
          <w:p>
            <w:pPr>
              <w:pStyle w:val="Normal"/>
              <w:spacing w:before="0" w:after="20"/>
              <w:rPr/>
            </w:pPr>
            <w:r>
              <w:rPr>
                <w:rFonts w:eastAsia="Arial" w:cs="Arial"/>
                <w:b w:val="false"/>
                <w:i w:val="false"/>
                <w:color w:val="1C2634"/>
                <w:sz w:val="17"/>
              </w:rPr>
              <w:t>Est tenu au courant</w:t>
            </w:r>
          </w:p>
        </w:tc>
      </w:tr>
    </w:tbl>
    <w:p>
      <w:pPr>
        <w:pStyle w:val="Normal"/>
        <w:spacing w:before="0" w:after="80"/>
        <w:rPr/>
      </w:pPr>
      <w:r>
        <w:rPr/>
      </w:r>
    </w:p>
    <w:p>
      <w:pPr>
        <w:pStyle w:val="Heading1"/>
        <w:pBdr>
          <w:left w:val="single" w:sz="24" w:space="3" w:color="4F9B3E"/>
          <w:bottom w:val="single" w:sz="6" w:space="3" w:color="E0EBF7"/>
        </w:pBdr>
        <w:shd w:val="clear" w:fill="F7FAFD"/>
        <w:spacing w:before="260" w:after="140"/>
        <w:ind w:left="113"/>
        <w:rPr/>
      </w:pPr>
      <w:bookmarkStart w:id="15" w:name="__RefHeading___Toc22319_3757726110"/>
      <w:bookmarkEnd w:id="15"/>
      <w:r>
        <w:rPr>
          <w:rFonts w:eastAsia="Arial" w:cs="Arial" w:ascii="Arial" w:hAnsi="Arial"/>
          <w:b/>
          <w:i w:val="false"/>
          <w:color w:val="1F4E79"/>
          <w:sz w:val="28"/>
        </w:rPr>
        <w:t>8. Logigramme</w:t>
      </w:r>
    </w:p>
    <w:p>
      <w:pPr>
        <w:pStyle w:val="Normal"/>
        <w:spacing w:before="0" w:after="120"/>
        <w:jc w:val="both"/>
        <w:rPr/>
      </w:pPr>
      <w:r>
        <w:rPr>
          <w:rFonts w:eastAsia="Arial" w:cs="Arial"/>
          <w:b w:val="false"/>
          <w:i/>
          <w:color w:val="606A78"/>
          <w:sz w:val="18"/>
        </w:rPr>
        <w:t>Conventions : ovale vert = début ou fin · rectangle bleu = activité · losange rose = décision · note orange = document ou enregistrement · double bordure = renvoi vers un autre processus. Flèche verte = Oui · flèche rouge = Non.</w:t>
      </w:r>
    </w:p>
    <w:p>
      <w:pPr>
        <w:pStyle w:val="Normal"/>
        <w:spacing w:before="80" w:after="40"/>
        <w:jc w:val="center"/>
        <w:rPr/>
      </w:pPr>
      <w:r>
        <w:rPr/>
        <w:drawing>
          <wp:inline distT="0" distB="0" distL="0" distR="0">
            <wp:extent cx="4521200" cy="7868920"/>
            <wp:effectExtent l="0" t="0" r="0" b="0"/>
            <wp:docPr id="1" name="Logigramme"/>
            <wp:cNvGraphicFramePr/>
            <a:graphic xmlns:a="http://schemas.openxmlformats.org/drawingml/2006/main">
              <a:graphicData uri="http://schemas.microsoft.com/office/word/2010/wordprocessingGroup">
                <wpg:wgp>
                  <wpg:cNvGrpSpPr/>
                  <wpg:grpSpPr>
                    <a:xfrm>
                      <a:off x="0" y="0"/>
                      <a:ext cx="4521200" cy="7868920"/>
                      <a:chOff x="0" y="0"/>
                      <a:chExt cx="4521200" cy="7868920"/>
                    </a:xfrm>
                  </wpg:grpSpPr>
                  <wps:wsp>
                    <wps:cNvPr id="2" name="n0"/>
                    <wps:cNvSpPr/>
                    <wps:spPr>
                      <a:xfrm>
                        <a:off x="558800" y="0"/>
                        <a:ext cx="3403600" cy="436880"/>
                      </a:xfrm>
                      <a:prstGeom prst="flowChartTerminator">
                        <a:avLst/>
                      </a:prstGeom>
                      <a:solidFill>
                        <a:srgbClr val="1F4E79"/>
                      </a:solidFill>
                      <a:ln w="9525" cap="flat">
                        <a:solidFill>
                          <a:srgbClr val="1F4E79"/>
                        </a:solidFill>
                        <a:round/>
                      </a:ln>
                    </wps:spPr>
                    <wps:txbx>
                      <w:txbxContent>
                        <w:p>
                          <w:pPr>
                            <w:jc w:val="center"/>
                            <w:spacing w:before="0" w:after="0" w:line="240" w:lineRule="auto"/>
                            <w:rPr>
                              <w:rFonts w:ascii="Arial" w:hAnsi="Arial" w:cs="Arial"/>
                              <w:b/>
                              <w:color w:val="FFFFFF"/>
                              <w:sz w:val="16"/>
                              <w:szCs w:val="16"/>
                            </w:rPr>
                          </w:pPr>
                          <w:r>
                            <w:rPr>
                              <w:rFonts w:ascii="Arial" w:hAnsi="Arial" w:cs="Arial"/>
                              <w:b/>
                              <w:color w:val="FFFFFF"/>
                              <w:sz w:val="16"/>
                              <w:szCs w:val="16"/>
                            </w:rPr>
                            <w:t xml:space="preserve">Besoin de protection</w:t>
                          </w:r>
                        </w:p>
                        <w:p>
                          <w:pPr>
                            <w:jc w:val="center"/>
                            <w:spacing w:before="0" w:after="0" w:line="240" w:lineRule="auto"/>
                            <w:rPr>
                              <w:rFonts w:ascii="Arial" w:hAnsi="Arial" w:cs="Arial"/>
                              <w:b/>
                              <w:color w:val="FFFFFF"/>
                              <w:sz w:val="16"/>
                              <w:szCs w:val="16"/>
                            </w:rPr>
                          </w:pPr>
                          <w:r>
                            <w:rPr>
                              <w:rFonts w:ascii="Arial" w:hAnsi="Arial" w:cs="Arial"/>
                              <w:b/>
                              <w:color w:val="FFFFFF"/>
                              <w:sz w:val="16"/>
                              <w:szCs w:val="16"/>
                            </w:rPr>
                            <w:t xml:space="preserve">cryptographique</w:t>
                          </w:r>
                        </w:p>
                      </w:txbxContent>
                    </wps:txbx>
                    <wps:bodyPr rot="0" anchor="ctr" anchorCtr="0" lIns="76200" rIns="76200" tIns="25400" bIns="25400">
                      <a:noAutofit/>
                    </wps:bodyPr>
                  </wps:wsp>
                  <wps:wsp>
                    <wps:cNvPr id="3" name="n1"/>
                    <wps:cNvSpPr/>
                    <wps:spPr>
                      <a:xfrm>
                        <a:off x="558800" y="624840"/>
                        <a:ext cx="3403600" cy="421640"/>
                      </a:xfrm>
                      <a:prstGeom prst="roundRect">
                        <a:avLst/>
                      </a:prstGeom>
                      <a:solidFill>
                        <a:srgbClr val="FFFFFF"/>
                      </a:solidFill>
                      <a:ln w="9525" cap="flat">
                        <a:solidFill>
                          <a:srgbClr val="2E75B6"/>
                        </a:solidFill>
                        <a:round/>
                      </a:ln>
                    </wps:spPr>
                    <wps:txbx>
                      <w:txbxContent>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Qualifier l'usage et</w:t>
                          </w:r>
                        </w:p>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le niveau de données</w:t>
                          </w:r>
                        </w:p>
                      </w:txbxContent>
                    </wps:txbx>
                    <wps:bodyPr rot="0" anchor="ctr" anchorCtr="0" lIns="76200" rIns="76200" tIns="25400" bIns="25400">
                      <a:noAutofit/>
                    </wps:bodyPr>
                  </wps:wsp>
                  <wps:wsp>
                    <wps:cNvPr id="4" name="n2"/>
                    <wps:cNvSpPr/>
                    <wps:spPr>
                      <a:xfrm>
                        <a:off x="558800" y="1234440"/>
                        <a:ext cx="3403600" cy="421640"/>
                      </a:xfrm>
                      <a:prstGeom prst="roundRect">
                        <a:avLst/>
                      </a:prstGeom>
                      <a:solidFill>
                        <a:srgbClr val="FFFFFF"/>
                      </a:solidFill>
                      <a:ln w="9525" cap="flat">
                        <a:solidFill>
                          <a:srgbClr val="2E75B6"/>
                        </a:solidFill>
                        <a:round/>
                      </a:ln>
                    </wps:spPr>
                    <wps:txbx>
                      <w:txbxContent>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Choisir un algorithme</w:t>
                          </w:r>
                        </w:p>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de la liste autorisée</w:t>
                          </w:r>
                        </w:p>
                      </w:txbxContent>
                    </wps:txbx>
                    <wps:bodyPr rot="0" anchor="ctr" anchorCtr="0" lIns="76200" rIns="76200" tIns="25400" bIns="25400">
                      <a:noAutofit/>
                    </wps:bodyPr>
                  </wps:wsp>
                  <wps:wsp>
                    <wps:cNvPr id="5" name="n3"/>
                    <wps:cNvSpPr/>
                    <wps:spPr>
                      <a:xfrm>
                        <a:off x="558800" y="1844040"/>
                        <a:ext cx="3403600" cy="421640"/>
                      </a:xfrm>
                      <a:prstGeom prst="roundRect">
                        <a:avLst/>
                      </a:prstGeom>
                      <a:solidFill>
                        <a:srgbClr val="FFFFFF"/>
                      </a:solidFill>
                      <a:ln w="9525" cap="flat">
                        <a:solidFill>
                          <a:srgbClr val="2E75B6"/>
                        </a:solidFill>
                        <a:round/>
                      </a:ln>
                    </wps:spPr>
                    <wps:txbx>
                      <w:txbxContent>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Générer la clé sur</w:t>
                          </w:r>
                        </w:p>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un système de confiance</w:t>
                          </w:r>
                        </w:p>
                      </w:txbxContent>
                    </wps:txbx>
                    <wps:bodyPr rot="0" anchor="ctr" anchorCtr="0" lIns="76200" rIns="76200" tIns="25400" bIns="25400">
                      <a:noAutofit/>
                    </wps:bodyPr>
                  </wps:wsp>
                  <wps:wsp>
                    <wps:cNvPr id="6" name="n4"/>
                    <wps:cNvSpPr/>
                    <wps:spPr>
                      <a:xfrm>
                        <a:off x="558800" y="2453640"/>
                        <a:ext cx="3403600" cy="421640"/>
                      </a:xfrm>
                      <a:prstGeom prst="roundRect">
                        <a:avLst/>
                      </a:prstGeom>
                      <a:solidFill>
                        <a:srgbClr val="FFFFFF"/>
                      </a:solidFill>
                      <a:ln w="9525" cap="flat">
                        <a:solidFill>
                          <a:srgbClr val="2E75B6"/>
                        </a:solidFill>
                        <a:round/>
                      </a:ln>
                    </wps:spPr>
                    <wps:txbx>
                      <w:txbxContent>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Stocker en coffre-fort</w:t>
                          </w:r>
                        </w:p>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et enregistrer S-CRY-001</w:t>
                          </w:r>
                        </w:p>
                      </w:txbxContent>
                    </wps:txbx>
                    <wps:bodyPr rot="0" anchor="ctr" anchorCtr="0" lIns="76200" rIns="76200" tIns="25400" bIns="25400">
                      <a:noAutofit/>
                    </wps:bodyPr>
                  </wps:wsp>
                  <wps:wsp>
                    <wps:cNvPr id="7" name="n5"/>
                    <wps:cNvSpPr/>
                    <wps:spPr>
                      <a:xfrm>
                        <a:off x="933196" y="3063240"/>
                        <a:ext cx="2654808" cy="751840"/>
                      </a:xfrm>
                      <a:prstGeom prst="flowChartDecision">
                        <a:avLst/>
                      </a:prstGeom>
                      <a:solidFill>
                        <a:srgbClr val="FFFCF4"/>
                      </a:solidFill>
                      <a:ln w="9525" cap="flat">
                        <a:solidFill>
                          <a:srgbClr val="C2952C"/>
                        </a:solidFill>
                        <a:round/>
                      </a:ln>
                    </wps:spPr>
                    <wps:txbx>
                      <w:txbxContent>
                        <w:p>
                          <w:pPr>
                            <w:jc w:val="center"/>
                            <w:spacing w:before="0" w:after="0" w:line="240" w:lineRule="auto"/>
                            <w:rPr>
                              <w:rFonts w:ascii="Arial" w:hAnsi="Arial" w:cs="Arial"/>
                              <w:b/>
                              <w:color w:val="7A5B12"/>
                              <w:sz w:val="16"/>
                              <w:szCs w:val="16"/>
                            </w:rPr>
                          </w:pPr>
                          <w:r>
                            <w:rPr>
                              <w:rFonts w:ascii="Arial" w:hAnsi="Arial" w:cs="Arial"/>
                              <w:b/>
                              <w:color w:val="7A5B12"/>
                              <w:sz w:val="16"/>
                              <w:szCs w:val="16"/>
                            </w:rPr>
                            <w:t xml:space="preserve">Perte des données</w:t>
                          </w:r>
                        </w:p>
                        <w:p>
                          <w:pPr>
                            <w:jc w:val="center"/>
                            <w:spacing w:before="0" w:after="0" w:line="240" w:lineRule="auto"/>
                            <w:rPr>
                              <w:rFonts w:ascii="Arial" w:hAnsi="Arial" w:cs="Arial"/>
                              <w:b/>
                              <w:color w:val="7A5B12"/>
                              <w:sz w:val="16"/>
                              <w:szCs w:val="16"/>
                            </w:rPr>
                          </w:pPr>
                          <w:r>
                            <w:rPr>
                              <w:rFonts w:ascii="Arial" w:hAnsi="Arial" w:cs="Arial"/>
                              <w:b/>
                              <w:color w:val="7A5B12"/>
                              <w:sz w:val="16"/>
                              <w:szCs w:val="16"/>
                            </w:rPr>
                            <w:t xml:space="preserve">serait critique ?</w:t>
                          </w:r>
                        </w:p>
                      </w:txbxContent>
                    </wps:txbx>
                    <wps:bodyPr rot="0" anchor="ctr" anchorCtr="0" lIns="25400" rIns="25400" tIns="0" bIns="0">
                      <a:noAutofit/>
                    </wps:bodyPr>
                  </wps:wsp>
                  <wps:wsp>
                    <wps:cNvPr id="8" name="n6"/>
                    <wps:cNvSpPr/>
                    <wps:spPr>
                      <a:xfrm>
                        <a:off x="558800" y="4003040"/>
                        <a:ext cx="3403600" cy="421640"/>
                      </a:xfrm>
                      <a:prstGeom prst="roundRect">
                        <a:avLst/>
                      </a:prstGeom>
                      <a:solidFill>
                        <a:srgbClr val="FFFFFF"/>
                      </a:solidFill>
                      <a:ln w="9525" cap="flat">
                        <a:solidFill>
                          <a:srgbClr val="2E75B6"/>
                        </a:solidFill>
                        <a:round/>
                      </a:ln>
                    </wps:spPr>
                    <wps:txbx>
                      <w:txbxContent>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Organiser le séquestre</w:t>
                          </w:r>
                        </w:p>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sous contrôle dual</w:t>
                          </w:r>
                        </w:p>
                      </w:txbxContent>
                    </wps:txbx>
                    <wps:bodyPr rot="0" anchor="ctr" anchorCtr="0" lIns="76200" rIns="76200" tIns="25400" bIns="25400">
                      <a:noAutofit/>
                    </wps:bodyPr>
                  </wps:wsp>
                  <wps:wsp>
                    <wps:cNvPr id="9" name="n7"/>
                    <wps:cNvSpPr/>
                    <wps:spPr>
                      <a:xfrm>
                        <a:off x="558800" y="4612640"/>
                        <a:ext cx="3403600" cy="421640"/>
                      </a:xfrm>
                      <a:custGeom>
                        <a:avLst/>
                        <a:gdLst/>
                        <a:ahLst/>
                        <a:cxnLst/>
                        <a:pathLst>
                          <a:path w="21600" h="21600">
                            <a:moveTo>
                              <a:pt x="0" y="0"/>
                            </a:moveTo>
                            <a:lnTo>
                              <a:pt x="21600" y="0"/>
                            </a:lnTo>
                            <a:lnTo>
                              <a:pt x="21600" y="21600"/>
                            </a:lnTo>
                            <a:lnTo>
                              <a:pt x="0" y="21600"/>
                            </a:lnTo>
                            <a:close/>
                          </a:path>
                          <a:path w="21600" h="21600" fill="none" stroke="1">
                            <a:moveTo>
                              <a:pt x="1000" y="0"/>
                            </a:moveTo>
                            <a:lnTo>
                              <a:pt x="1000" y="21600"/>
                            </a:lnTo>
                          </a:path>
                          <a:path w="21600" h="21600" fill="none" stroke="1">
                            <a:moveTo>
                              <a:pt x="20600" y="0"/>
                            </a:moveTo>
                            <a:lnTo>
                              <a:pt x="20600" y="21600"/>
                            </a:lnTo>
                          </a:path>
                        </a:pathLst>
                      </a:custGeom>
                      <a:solidFill>
                        <a:srgbClr val="EAF2FA"/>
                      </a:solidFill>
                      <a:ln w="9525" cap="flat">
                        <a:solidFill>
                          <a:srgbClr val="1F4E79"/>
                        </a:solidFill>
                        <a:round/>
                      </a:ln>
                    </wps:spPr>
                    <wps:txbx>
                      <w:txbxContent>
                        <w:p>
                          <w:pPr>
                            <w:jc w:val="center"/>
                            <w:spacing w:before="0" w:after="0" w:line="240" w:lineRule="auto"/>
                            <w:rPr>
                              <w:rFonts w:ascii="Arial" w:hAnsi="Arial" w:cs="Arial"/>
                              <w:b/>
                              <w:color w:val="1F4E79"/>
                              <w:sz w:val="16"/>
                              <w:szCs w:val="16"/>
                            </w:rPr>
                          </w:pPr>
                          <w:r>
                            <w:rPr>
                              <w:rFonts w:ascii="Arial" w:hAnsi="Arial" w:cs="Arial"/>
                              <w:b/>
                              <w:color w:val="1F4E79"/>
                              <w:sz w:val="16"/>
                              <w:szCs w:val="16"/>
                            </w:rPr>
                            <w:t xml:space="preserve">Surveillance des échéances</w:t>
                          </w:r>
                        </w:p>
                        <w:p>
                          <w:pPr>
                            <w:jc w:val="center"/>
                            <w:spacing w:before="0" w:after="0" w:line="240" w:lineRule="auto"/>
                            <w:rPr>
                              <w:rFonts w:ascii="Arial" w:hAnsi="Arial" w:cs="Arial"/>
                              <w:b/>
                              <w:color w:val="1F4E79"/>
                              <w:sz w:val="16"/>
                              <w:szCs w:val="16"/>
                            </w:rPr>
                          </w:pPr>
                          <w:r>
                            <w:rPr>
                              <w:rFonts w:ascii="Arial" w:hAnsi="Arial" w:cs="Arial"/>
                              <w:b/>
                              <w:color w:val="1F4E79"/>
                              <w:sz w:val="16"/>
                              <w:szCs w:val="16"/>
                            </w:rPr>
                            <w:t xml:space="preserve">et rotations</w:t>
                          </w:r>
                        </w:p>
                      </w:txbxContent>
                    </wps:txbx>
                    <wps:bodyPr rot="0" anchor="ctr" anchorCtr="0" lIns="221074" rIns="221074" tIns="25400" bIns="25400">
                      <a:noAutofit/>
                    </wps:bodyPr>
                  </wps:wsp>
                  <wps:wsp>
                    <wps:cNvPr id="10" name="n8"/>
                    <wps:cNvSpPr/>
                    <wps:spPr>
                      <a:xfrm>
                        <a:off x="933196" y="5222240"/>
                        <a:ext cx="2654808" cy="751840"/>
                      </a:xfrm>
                      <a:prstGeom prst="flowChartDecision">
                        <a:avLst/>
                      </a:prstGeom>
                      <a:solidFill>
                        <a:srgbClr val="FFFCF4"/>
                      </a:solidFill>
                      <a:ln w="9525" cap="flat">
                        <a:solidFill>
                          <a:srgbClr val="C2952C"/>
                        </a:solidFill>
                        <a:round/>
                      </a:ln>
                    </wps:spPr>
                    <wps:txbx>
                      <w:txbxContent>
                        <w:p>
                          <w:pPr>
                            <w:jc w:val="center"/>
                            <w:spacing w:before="0" w:after="0" w:line="240" w:lineRule="auto"/>
                            <w:rPr>
                              <w:rFonts w:ascii="Arial" w:hAnsi="Arial" w:cs="Arial"/>
                              <w:b/>
                              <w:color w:val="7A5B12"/>
                              <w:sz w:val="16"/>
                              <w:szCs w:val="16"/>
                            </w:rPr>
                          </w:pPr>
                          <w:r>
                            <w:rPr>
                              <w:rFonts w:ascii="Arial" w:hAnsi="Arial" w:cs="Arial"/>
                              <w:b/>
                              <w:color w:val="7A5B12"/>
                              <w:sz w:val="16"/>
                              <w:szCs w:val="16"/>
                            </w:rPr>
                            <w:t xml:space="preserve">Compromission ou</w:t>
                          </w:r>
                        </w:p>
                        <w:p>
                          <w:pPr>
                            <w:jc w:val="center"/>
                            <w:spacing w:before="0" w:after="0" w:line="240" w:lineRule="auto"/>
                            <w:rPr>
                              <w:rFonts w:ascii="Arial" w:hAnsi="Arial" w:cs="Arial"/>
                              <w:b/>
                              <w:color w:val="7A5B12"/>
                              <w:sz w:val="16"/>
                              <w:szCs w:val="16"/>
                            </w:rPr>
                          </w:pPr>
                          <w:r>
                            <w:rPr>
                              <w:rFonts w:ascii="Arial" w:hAnsi="Arial" w:cs="Arial"/>
                              <w:b/>
                              <w:color w:val="7A5B12"/>
                              <w:sz w:val="16"/>
                              <w:szCs w:val="16"/>
                            </w:rPr>
                            <w:t xml:space="preserve">expiration imminente ?</w:t>
                          </w:r>
                        </w:p>
                      </w:txbxContent>
                    </wps:txbx>
                    <wps:bodyPr rot="0" anchor="ctr" anchorCtr="0" lIns="25400" rIns="25400" tIns="0" bIns="0">
                      <a:noAutofit/>
                    </wps:bodyPr>
                  </wps:wsp>
                  <wps:wsp>
                    <wps:cNvPr id="11" name="n9"/>
                    <wps:cNvSpPr/>
                    <wps:spPr>
                      <a:xfrm>
                        <a:off x="558800" y="6162040"/>
                        <a:ext cx="3403600" cy="421640"/>
                      </a:xfrm>
                      <a:prstGeom prst="roundRect">
                        <a:avLst/>
                      </a:prstGeom>
                      <a:solidFill>
                        <a:srgbClr val="FFFFFF"/>
                      </a:solidFill>
                      <a:ln w="9525" cap="flat">
                        <a:solidFill>
                          <a:srgbClr val="2E75B6"/>
                        </a:solidFill>
                        <a:round/>
                      </a:ln>
                    </wps:spPr>
                    <wps:txbx>
                      <w:txbxContent>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Révoquer, renouveler</w:t>
                          </w:r>
                        </w:p>
                        <w:p>
                          <w:pPr>
                            <w:jc w:val="center"/>
                            <w:spacing w:before="0" w:after="0" w:line="240" w:lineRule="auto"/>
                            <w:rPr>
                              <w:rFonts w:ascii="Arial" w:hAnsi="Arial" w:cs="Arial"/>
                              <w:b/>
                              <w:color w:val="14181F"/>
                              <w:sz w:val="16"/>
                              <w:szCs w:val="16"/>
                            </w:rPr>
                          </w:pPr>
                          <w:r>
                            <w:rPr>
                              <w:rFonts w:ascii="Arial" w:hAnsi="Arial" w:cs="Arial"/>
                              <w:b/>
                              <w:color w:val="14181F"/>
                              <w:sz w:val="16"/>
                              <w:szCs w:val="16"/>
                            </w:rPr>
                            <w:t xml:space="preserve">et rechiffrer</w:t>
                          </w:r>
                        </w:p>
                      </w:txbxContent>
                    </wps:txbx>
                    <wps:bodyPr rot="0" anchor="ctr" anchorCtr="0" lIns="76200" rIns="76200" tIns="25400" bIns="25400">
                      <a:noAutofit/>
                    </wps:bodyPr>
                  </wps:wsp>
                  <wps:wsp>
                    <wps:cNvPr id="12" name="n10"/>
                    <wps:cNvSpPr/>
                    <wps:spPr>
                      <a:xfrm>
                        <a:off x="558800" y="6771640"/>
                        <a:ext cx="3403600" cy="472440"/>
                      </a:xfrm>
                      <a:prstGeom prst="flowChartDocument">
                        <a:avLst/>
                      </a:prstGeom>
                      <a:solidFill>
                        <a:srgbClr val="F7F5F0"/>
                      </a:solidFill>
                      <a:ln w="9525" cap="flat">
                        <a:solidFill>
                          <a:srgbClr val="9C948A"/>
                        </a:solidFill>
                        <a:round/>
                      </a:ln>
                    </wps:spPr>
                    <wps:txbx>
                      <w:txbxContent>
                        <w:p>
                          <w:pPr>
                            <w:jc w:val="center"/>
                            <w:spacing w:before="0" w:after="0" w:line="240" w:lineRule="auto"/>
                            <w:rPr>
                              <w:rFonts w:ascii="Arial" w:hAnsi="Arial" w:cs="Arial"/>
                              <w:b/>
                              <w:color w:val="4A4A4A"/>
                              <w:sz w:val="16"/>
                              <w:szCs w:val="16"/>
                            </w:rPr>
                          </w:pPr>
                          <w:r>
                            <w:rPr>
                              <w:rFonts w:ascii="Arial" w:hAnsi="Arial" w:cs="Arial"/>
                              <w:b/>
                              <w:color w:val="4A4A4A"/>
                              <w:sz w:val="16"/>
                              <w:szCs w:val="16"/>
                            </w:rPr>
                            <w:t xml:space="preserve">Registre S-CRY-001</w:t>
                          </w:r>
                        </w:p>
                        <w:p>
                          <w:pPr>
                            <w:jc w:val="center"/>
                            <w:spacing w:before="0" w:after="0" w:line="240" w:lineRule="auto"/>
                            <w:rPr>
                              <w:rFonts w:ascii="Arial" w:hAnsi="Arial" w:cs="Arial"/>
                              <w:b/>
                              <w:color w:val="4A4A4A"/>
                              <w:sz w:val="16"/>
                              <w:szCs w:val="16"/>
                            </w:rPr>
                          </w:pPr>
                          <w:r>
                            <w:rPr>
                              <w:rFonts w:ascii="Arial" w:hAnsi="Arial" w:cs="Arial"/>
                              <w:b/>
                              <w:color w:val="4A4A4A"/>
                              <w:sz w:val="16"/>
                              <w:szCs w:val="16"/>
                            </w:rPr>
                            <w:t xml:space="preserve">mis à jour</w:t>
                          </w:r>
                        </w:p>
                      </w:txbxContent>
                    </wps:txbx>
                    <wps:bodyPr rot="0" anchor="ctr" anchorCtr="0" lIns="76200" rIns="76200" tIns="25400" bIns="75590">
                      <a:noAutofit/>
                    </wps:bodyPr>
                  </wps:wsp>
                  <wps:wsp>
                    <wps:cNvPr id="13" name="n11"/>
                    <wps:cNvSpPr/>
                    <wps:spPr>
                      <a:xfrm>
                        <a:off x="558800" y="7432040"/>
                        <a:ext cx="3403600" cy="436880"/>
                      </a:xfrm>
                      <a:prstGeom prst="flowChartTerminator">
                        <a:avLst/>
                      </a:prstGeom>
                      <a:solidFill>
                        <a:srgbClr val="1F4E79"/>
                      </a:solidFill>
                      <a:ln w="9525" cap="flat">
                        <a:solidFill>
                          <a:srgbClr val="1F4E79"/>
                        </a:solidFill>
                        <a:round/>
                      </a:ln>
                    </wps:spPr>
                    <wps:txbx>
                      <w:txbxContent>
                        <w:p>
                          <w:pPr>
                            <w:jc w:val="center"/>
                            <w:spacing w:before="0" w:after="0" w:line="240" w:lineRule="auto"/>
                            <w:rPr>
                              <w:rFonts w:ascii="Arial" w:hAnsi="Arial" w:cs="Arial"/>
                              <w:b/>
                              <w:color w:val="FFFFFF"/>
                              <w:sz w:val="16"/>
                              <w:szCs w:val="16"/>
                            </w:rPr>
                          </w:pPr>
                          <w:r>
                            <w:rPr>
                              <w:rFonts w:ascii="Arial" w:hAnsi="Arial" w:cs="Arial"/>
                              <w:b/>
                              <w:color w:val="FFFFFF"/>
                              <w:sz w:val="16"/>
                              <w:szCs w:val="16"/>
                            </w:rPr>
                            <w:t xml:space="preserve">Cryptographie maîtrisée</w:t>
                          </w:r>
                        </w:p>
                        <w:p>
                          <w:pPr>
                            <w:jc w:val="center"/>
                            <w:spacing w:before="0" w:after="0" w:line="240" w:lineRule="auto"/>
                            <w:rPr>
                              <w:rFonts w:ascii="Arial" w:hAnsi="Arial" w:cs="Arial"/>
                              <w:b/>
                              <w:color w:val="FFFFFF"/>
                              <w:sz w:val="16"/>
                              <w:szCs w:val="16"/>
                            </w:rPr>
                          </w:pPr>
                          <w:r>
                            <w:rPr>
                              <w:rFonts w:ascii="Arial" w:hAnsi="Arial" w:cs="Arial"/>
                              <w:b/>
                              <w:color w:val="FFFFFF"/>
                              <w:sz w:val="16"/>
                              <w:szCs w:val="16"/>
                            </w:rPr>
                            <w:t xml:space="preserve">sur tout le cycle de vie</w:t>
                          </w:r>
                        </w:p>
                      </w:txbxContent>
                    </wps:txbx>
                    <wps:bodyPr rot="0" anchor="ctr" anchorCtr="0" lIns="76200" rIns="76200" tIns="25400" bIns="25400">
                      <a:noAutofit/>
                    </wps:bodyPr>
                  </wps:wsp>
                  <wps:wsp>
                    <wps:cNvPr id="14" name="lien14"/>
                    <wps:cNvSpPr/>
                    <wps:spPr>
                      <a:xfrm>
                        <a:off x="2260600" y="436880"/>
                        <a:ext cx="1" cy="187960"/>
                      </a:xfrm>
                      <a:prstGeom prst="line">
                        <a:avLst/>
                      </a:prstGeom>
                      <a:ln w="9525">
                        <a:solidFill>
                          <a:srgbClr val="8A94A2"/>
                        </a:solidFill>
                        <a:headEnd type="none"/>
                        <a:tailEnd type="triangle" w="med" len="med"/>
                      </a:ln>
                    </wps:spPr>
                    <wps:bodyPr/>
                  </wps:wsp>
                  <wps:wsp>
                    <wps:cNvPr id="15" name="lien15"/>
                    <wps:cNvSpPr/>
                    <wps:spPr>
                      <a:xfrm>
                        <a:off x="2260600" y="1046480"/>
                        <a:ext cx="1" cy="187960"/>
                      </a:xfrm>
                      <a:prstGeom prst="line">
                        <a:avLst/>
                      </a:prstGeom>
                      <a:ln w="9525">
                        <a:solidFill>
                          <a:srgbClr val="8A94A2"/>
                        </a:solidFill>
                        <a:headEnd type="none"/>
                        <a:tailEnd type="triangle" w="med" len="med"/>
                      </a:ln>
                    </wps:spPr>
                    <wps:bodyPr/>
                  </wps:wsp>
                  <wps:wsp>
                    <wps:cNvPr id="16" name="lien16"/>
                    <wps:cNvSpPr/>
                    <wps:spPr>
                      <a:xfrm>
                        <a:off x="2260600" y="1656080"/>
                        <a:ext cx="1" cy="187960"/>
                      </a:xfrm>
                      <a:prstGeom prst="line">
                        <a:avLst/>
                      </a:prstGeom>
                      <a:ln w="9525">
                        <a:solidFill>
                          <a:srgbClr val="8A94A2"/>
                        </a:solidFill>
                        <a:headEnd type="none"/>
                        <a:tailEnd type="triangle" w="med" len="med"/>
                      </a:ln>
                    </wps:spPr>
                    <wps:bodyPr/>
                  </wps:wsp>
                  <wps:wsp>
                    <wps:cNvPr id="17" name="lien17"/>
                    <wps:cNvSpPr/>
                    <wps:spPr>
                      <a:xfrm>
                        <a:off x="2260600" y="2265680"/>
                        <a:ext cx="1" cy="187960"/>
                      </a:xfrm>
                      <a:prstGeom prst="line">
                        <a:avLst/>
                      </a:prstGeom>
                      <a:ln w="9525">
                        <a:solidFill>
                          <a:srgbClr val="8A94A2"/>
                        </a:solidFill>
                        <a:headEnd type="none"/>
                        <a:tailEnd type="triangle" w="med" len="med"/>
                      </a:ln>
                    </wps:spPr>
                    <wps:bodyPr/>
                  </wps:wsp>
                  <wps:wsp>
                    <wps:cNvPr id="18" name="lien18"/>
                    <wps:cNvSpPr/>
                    <wps:spPr>
                      <a:xfrm>
                        <a:off x="2260600" y="2875280"/>
                        <a:ext cx="1" cy="187960"/>
                      </a:xfrm>
                      <a:prstGeom prst="line">
                        <a:avLst/>
                      </a:prstGeom>
                      <a:ln w="9525">
                        <a:solidFill>
                          <a:srgbClr val="8A94A2"/>
                        </a:solidFill>
                        <a:headEnd type="none"/>
                        <a:tailEnd type="triangle" w="med" len="med"/>
                      </a:ln>
                    </wps:spPr>
                    <wps:bodyPr/>
                  </wps:wsp>
                  <wps:wsp>
                    <wps:cNvPr id="19" name="lien19"/>
                    <wps:cNvSpPr/>
                    <wps:spPr>
                      <a:xfrm>
                        <a:off x="2260600" y="3815080"/>
                        <a:ext cx="1" cy="187960"/>
                      </a:xfrm>
                      <a:prstGeom prst="line">
                        <a:avLst/>
                      </a:prstGeom>
                      <a:ln w="9525">
                        <a:solidFill>
                          <a:srgbClr val="2F6F5E"/>
                        </a:solidFill>
                        <a:headEnd type="none"/>
                        <a:tailEnd type="triangle" w="med" len="med"/>
                      </a:ln>
                    </wps:spPr>
                    <wps:bodyPr/>
                  </wps:wsp>
                  <wps:wsp>
                    <wps:cNvPr id="20" name="et20"/>
                    <wps:cNvSpPr txBox="1"/>
                    <wps:spPr>
                      <a:xfrm>
                        <a:off x="2305050" y="3832860"/>
                        <a:ext cx="381000" cy="152400"/>
                      </a:xfrm>
                      <a:prstGeom prst="rect">
                        <a:avLst/>
                      </a:prstGeom>
                      <a:noFill/>
                      <a:ln>
                        <a:noFill/>
                      </a:ln>
                    </wps:spPr>
                    <wps:txbx>
                      <w:txbxContent>
                        <w:p>
                          <w:pPr>
                            <w:jc w:val="left"/>
                            <w:spacing w:before="0" w:after="0"/>
                            <w:rPr>
                              <w:rFonts w:ascii="Arial" w:hAnsi="Arial" w:cs="Arial"/>
                              <w:b/>
                              <w:color w:val="2F6F5E"/>
                              <w:sz w:val="14"/>
                              <w:szCs w:val="14"/>
                            </w:rPr>
                          </w:pPr>
                          <w:r>
                            <w:rPr>
                              <w:rFonts w:ascii="Arial" w:hAnsi="Arial" w:cs="Arial"/>
                              <w:b/>
                              <w:color w:val="2F6F5E"/>
                              <w:sz w:val="14"/>
                              <w:szCs w:val="14"/>
                            </w:rPr>
                            <w:t xml:space="preserve">Oui</w:t>
                          </w:r>
                        </w:p>
                      </w:txbxContent>
                    </wps:txbx>
                    <wps:bodyPr rot="0" anchor="ctr" lIns="0" rIns="0" tIns="0" bIns="0">
                      <a:noAutofit/>
                    </wps:bodyPr>
                  </wps:wsp>
                  <wps:wsp>
                    <wps:cNvPr id="21" name="lien21"/>
                    <wps:cNvSpPr/>
                    <wps:spPr>
                      <a:xfrm flipH="1">
                        <a:off x="228600" y="3439160"/>
                        <a:ext cx="704596" cy="1"/>
                      </a:xfrm>
                      <a:prstGeom prst="line">
                        <a:avLst/>
                      </a:prstGeom>
                      <a:ln w="9525">
                        <a:solidFill>
                          <a:srgbClr val="B23B2E"/>
                        </a:solidFill>
                        <a:headEnd type="none"/>
                        <a:tailEnd type="none"/>
                      </a:ln>
                    </wps:spPr>
                    <wps:bodyPr/>
                  </wps:wsp>
                  <wps:wsp>
                    <wps:cNvPr id="22" name="lien22"/>
                    <wps:cNvSpPr/>
                    <wps:spPr>
                      <a:xfrm>
                        <a:off x="228600" y="3439160"/>
                        <a:ext cx="1" cy="1088898"/>
                      </a:xfrm>
                      <a:prstGeom prst="line">
                        <a:avLst/>
                      </a:prstGeom>
                      <a:ln w="9525">
                        <a:solidFill>
                          <a:srgbClr val="B23B2E"/>
                        </a:solidFill>
                        <a:headEnd type="none"/>
                        <a:tailEnd type="none"/>
                      </a:ln>
                    </wps:spPr>
                    <wps:bodyPr/>
                  </wps:wsp>
                  <wps:wsp>
                    <wps:cNvPr id="23" name="lien23"/>
                    <wps:cNvSpPr/>
                    <wps:spPr>
                      <a:xfrm>
                        <a:off x="228600" y="4528058"/>
                        <a:ext cx="2032000" cy="1"/>
                      </a:xfrm>
                      <a:prstGeom prst="line">
                        <a:avLst/>
                      </a:prstGeom>
                      <a:ln w="9525">
                        <a:solidFill>
                          <a:srgbClr val="B23B2E"/>
                        </a:solidFill>
                        <a:headEnd type="none"/>
                        <a:tailEnd type="triangle" w="med" len="med"/>
                      </a:ln>
                    </wps:spPr>
                    <wps:bodyPr/>
                  </wps:wsp>
                  <wps:wsp>
                    <wps:cNvPr id="24" name="et24"/>
                    <wps:cNvSpPr txBox="1"/>
                    <wps:spPr>
                      <a:xfrm>
                        <a:off x="501396" y="3235960"/>
                        <a:ext cx="381000" cy="152400"/>
                      </a:xfrm>
                      <a:prstGeom prst="rect">
                        <a:avLst/>
                      </a:prstGeom>
                      <a:noFill/>
                      <a:ln>
                        <a:noFill/>
                      </a:ln>
                    </wps:spPr>
                    <wps:txbx>
                      <w:txbxContent>
                        <w:p>
                          <w:pPr>
                            <w:jc w:val="right"/>
                            <w:spacing w:before="0" w:after="0"/>
                            <w:rPr>
                              <w:rFonts w:ascii="Arial" w:hAnsi="Arial" w:cs="Arial"/>
                              <w:b/>
                              <w:color w:val="B23B2E"/>
                              <w:sz w:val="14"/>
                              <w:szCs w:val="14"/>
                            </w:rPr>
                          </w:pPr>
                          <w:r>
                            <w:rPr>
                              <w:rFonts w:ascii="Arial" w:hAnsi="Arial" w:cs="Arial"/>
                              <w:b/>
                              <w:color w:val="B23B2E"/>
                              <w:sz w:val="14"/>
                              <w:szCs w:val="14"/>
                            </w:rPr>
                            <w:t xml:space="preserve">Non</w:t>
                          </w:r>
                        </w:p>
                      </w:txbxContent>
                    </wps:txbx>
                    <wps:bodyPr rot="0" anchor="ctr" lIns="0" rIns="0" tIns="0" bIns="0">
                      <a:noAutofit/>
                    </wps:bodyPr>
                  </wps:wsp>
                  <wps:wsp>
                    <wps:cNvPr id="25" name="lien25"/>
                    <wps:cNvSpPr/>
                    <wps:spPr>
                      <a:xfrm>
                        <a:off x="2260600" y="4424680"/>
                        <a:ext cx="1" cy="187960"/>
                      </a:xfrm>
                      <a:prstGeom prst="line">
                        <a:avLst/>
                      </a:prstGeom>
                      <a:ln w="9525">
                        <a:solidFill>
                          <a:srgbClr val="8A94A2"/>
                        </a:solidFill>
                        <a:headEnd type="none"/>
                        <a:tailEnd type="triangle" w="med" len="med"/>
                      </a:ln>
                    </wps:spPr>
                    <wps:bodyPr/>
                  </wps:wsp>
                  <wps:wsp>
                    <wps:cNvPr id="26" name="lien26"/>
                    <wps:cNvSpPr/>
                    <wps:spPr>
                      <a:xfrm>
                        <a:off x="2260600" y="5034280"/>
                        <a:ext cx="1" cy="187960"/>
                      </a:xfrm>
                      <a:prstGeom prst="line">
                        <a:avLst/>
                      </a:prstGeom>
                      <a:ln w="9525">
                        <a:solidFill>
                          <a:srgbClr val="8A94A2"/>
                        </a:solidFill>
                        <a:headEnd type="none"/>
                        <a:tailEnd type="triangle" w="med" len="med"/>
                      </a:ln>
                    </wps:spPr>
                    <wps:bodyPr/>
                  </wps:wsp>
                  <wps:wsp>
                    <wps:cNvPr id="27" name="lien27"/>
                    <wps:cNvSpPr/>
                    <wps:spPr>
                      <a:xfrm>
                        <a:off x="2260600" y="5974080"/>
                        <a:ext cx="1" cy="187960"/>
                      </a:xfrm>
                      <a:prstGeom prst="line">
                        <a:avLst/>
                      </a:prstGeom>
                      <a:ln w="9525">
                        <a:solidFill>
                          <a:srgbClr val="2F6F5E"/>
                        </a:solidFill>
                        <a:headEnd type="none"/>
                        <a:tailEnd type="triangle" w="med" len="med"/>
                      </a:ln>
                    </wps:spPr>
                    <wps:bodyPr/>
                  </wps:wsp>
                  <wps:wsp>
                    <wps:cNvPr id="28" name="et28"/>
                    <wps:cNvSpPr txBox="1"/>
                    <wps:spPr>
                      <a:xfrm>
                        <a:off x="2305050" y="5991860"/>
                        <a:ext cx="381000" cy="152400"/>
                      </a:xfrm>
                      <a:prstGeom prst="rect">
                        <a:avLst/>
                      </a:prstGeom>
                      <a:noFill/>
                      <a:ln>
                        <a:noFill/>
                      </a:ln>
                    </wps:spPr>
                    <wps:txbx>
                      <w:txbxContent>
                        <w:p>
                          <w:pPr>
                            <w:jc w:val="left"/>
                            <w:spacing w:before="0" w:after="0"/>
                            <w:rPr>
                              <w:rFonts w:ascii="Arial" w:hAnsi="Arial" w:cs="Arial"/>
                              <w:b/>
                              <w:color w:val="2F6F5E"/>
                              <w:sz w:val="14"/>
                              <w:szCs w:val="14"/>
                            </w:rPr>
                          </w:pPr>
                          <w:r>
                            <w:rPr>
                              <w:rFonts w:ascii="Arial" w:hAnsi="Arial" w:cs="Arial"/>
                              <w:b/>
                              <w:color w:val="2F6F5E"/>
                              <w:sz w:val="14"/>
                              <w:szCs w:val="14"/>
                            </w:rPr>
                            <w:t xml:space="preserve">Oui</w:t>
                          </w:r>
                        </w:p>
                      </w:txbxContent>
                    </wps:txbx>
                    <wps:bodyPr rot="0" anchor="ctr" lIns="0" rIns="0" tIns="0" bIns="0">
                      <a:noAutofit/>
                    </wps:bodyPr>
                  </wps:wsp>
                  <wps:wsp>
                    <wps:cNvPr id="29" name="lien29"/>
                    <wps:cNvSpPr/>
                    <wps:spPr>
                      <a:xfrm flipH="1">
                        <a:off x="228600" y="5598160"/>
                        <a:ext cx="704596" cy="1"/>
                      </a:xfrm>
                      <a:prstGeom prst="line">
                        <a:avLst/>
                      </a:prstGeom>
                      <a:ln w="9525">
                        <a:solidFill>
                          <a:srgbClr val="B23B2E"/>
                        </a:solidFill>
                        <a:headEnd type="none"/>
                        <a:tailEnd type="none"/>
                      </a:ln>
                    </wps:spPr>
                    <wps:bodyPr/>
                  </wps:wsp>
                  <wps:wsp>
                    <wps:cNvPr id="30" name="lien30"/>
                    <wps:cNvSpPr/>
                    <wps:spPr>
                      <a:xfrm>
                        <a:off x="228600" y="5598160"/>
                        <a:ext cx="1" cy="1088898"/>
                      </a:xfrm>
                      <a:prstGeom prst="line">
                        <a:avLst/>
                      </a:prstGeom>
                      <a:ln w="9525">
                        <a:solidFill>
                          <a:srgbClr val="B23B2E"/>
                        </a:solidFill>
                        <a:headEnd type="none"/>
                        <a:tailEnd type="none"/>
                      </a:ln>
                    </wps:spPr>
                    <wps:bodyPr/>
                  </wps:wsp>
                  <wps:wsp>
                    <wps:cNvPr id="31" name="lien31"/>
                    <wps:cNvSpPr/>
                    <wps:spPr>
                      <a:xfrm>
                        <a:off x="228600" y="6687058"/>
                        <a:ext cx="2032000" cy="1"/>
                      </a:xfrm>
                      <a:prstGeom prst="line">
                        <a:avLst/>
                      </a:prstGeom>
                      <a:ln w="9525">
                        <a:solidFill>
                          <a:srgbClr val="B23B2E"/>
                        </a:solidFill>
                        <a:headEnd type="none"/>
                        <a:tailEnd type="triangle" w="med" len="med"/>
                      </a:ln>
                    </wps:spPr>
                    <wps:bodyPr/>
                  </wps:wsp>
                  <wps:wsp>
                    <wps:cNvPr id="32" name="et32"/>
                    <wps:cNvSpPr txBox="1"/>
                    <wps:spPr>
                      <a:xfrm>
                        <a:off x="501396" y="5394960"/>
                        <a:ext cx="381000" cy="152400"/>
                      </a:xfrm>
                      <a:prstGeom prst="rect">
                        <a:avLst/>
                      </a:prstGeom>
                      <a:noFill/>
                      <a:ln>
                        <a:noFill/>
                      </a:ln>
                    </wps:spPr>
                    <wps:txbx>
                      <w:txbxContent>
                        <w:p>
                          <w:pPr>
                            <w:jc w:val="right"/>
                            <w:spacing w:before="0" w:after="0"/>
                            <w:rPr>
                              <w:rFonts w:ascii="Arial" w:hAnsi="Arial" w:cs="Arial"/>
                              <w:b/>
                              <w:color w:val="B23B2E"/>
                              <w:sz w:val="14"/>
                              <w:szCs w:val="14"/>
                            </w:rPr>
                          </w:pPr>
                          <w:r>
                            <w:rPr>
                              <w:rFonts w:ascii="Arial" w:hAnsi="Arial" w:cs="Arial"/>
                              <w:b/>
                              <w:color w:val="B23B2E"/>
                              <w:sz w:val="14"/>
                              <w:szCs w:val="14"/>
                            </w:rPr>
                            <w:t xml:space="preserve">Non</w:t>
                          </w:r>
                        </w:p>
                      </w:txbxContent>
                    </wps:txbx>
                    <wps:bodyPr rot="0" anchor="ctr" lIns="0" rIns="0" tIns="0" bIns="0">
                      <a:noAutofit/>
                    </wps:bodyPr>
                  </wps:wsp>
                  <wps:wsp>
                    <wps:cNvPr id="33" name="lien33"/>
                    <wps:cNvSpPr/>
                    <wps:spPr>
                      <a:xfrm>
                        <a:off x="2260600" y="6583680"/>
                        <a:ext cx="1" cy="187960"/>
                      </a:xfrm>
                      <a:prstGeom prst="line">
                        <a:avLst/>
                      </a:prstGeom>
                      <a:ln w="9525">
                        <a:solidFill>
                          <a:srgbClr val="8A94A2"/>
                        </a:solidFill>
                        <a:headEnd type="none"/>
                        <a:tailEnd type="triangle" w="med" len="med"/>
                      </a:ln>
                    </wps:spPr>
                    <wps:bodyPr/>
                  </wps:wsp>
                  <wps:wsp>
                    <wps:cNvPr id="34" name="lien34"/>
                    <wps:cNvSpPr/>
                    <wps:spPr>
                      <a:xfrm>
                        <a:off x="2260600" y="7244080"/>
                        <a:ext cx="1" cy="187960"/>
                      </a:xfrm>
                      <a:prstGeom prst="line">
                        <a:avLst/>
                      </a:prstGeom>
                      <a:ln w="9525">
                        <a:solidFill>
                          <a:srgbClr val="8A94A2"/>
                        </a:solidFill>
                        <a:prstDash val="dash"/>
                        <a:headEnd type="none"/>
                        <a:tailEnd type="triangle" w="med" len="med"/>
                      </a:ln>
                    </wps:spPr>
                    <wps:bodyPr/>
                  </wps:wsp>
                </wpg:wgp>
              </a:graphicData>
            </a:graphic>
          </wp:inline>
        </w:drawing>
      </w:r>
    </w:p>
    <w:p>
      <w:pPr>
        <w:pStyle w:val="Normal"/>
        <w:spacing w:before="0" w:after="120"/>
        <w:jc w:val="center"/>
        <w:rPr/>
      </w:pPr>
      <w:r>
        <w:rPr>
          <w:rFonts w:eastAsia="Arial" w:cs="Arial"/>
          <w:b w:val="false"/>
          <w:i/>
          <w:color w:val="606A78"/>
          <w:sz w:val="18"/>
        </w:rPr>
        <w:t>Logigramme LOG-PR-EXP-004 — Cryptographie et gestion des clés</w:t>
      </w:r>
    </w:p>
    <w:p>
      <w:pPr>
        <w:pStyle w:val="Normal"/>
        <w:rPr/>
      </w:pPr>
      <w:r>
        <w:rPr/>
      </w:r>
      <w:r>
        <w:br w:type="page"/>
      </w:r>
    </w:p>
    <w:p>
      <w:pPr>
        <w:pStyle w:val="Heading1"/>
        <w:pBdr>
          <w:left w:val="single" w:sz="24" w:space="3" w:color="4F9B3E"/>
          <w:bottom w:val="single" w:sz="6" w:space="3" w:color="E0EBF7"/>
        </w:pBdr>
        <w:shd w:val="clear" w:fill="F7FAFD"/>
        <w:spacing w:before="0" w:after="140"/>
        <w:ind w:left="113"/>
        <w:rPr/>
      </w:pPr>
      <w:bookmarkStart w:id="16" w:name="__RefHeading___Toc22321_3757726110"/>
      <w:bookmarkEnd w:id="16"/>
      <w:r>
        <w:rPr>
          <w:rFonts w:eastAsia="Arial" w:cs="Arial" w:ascii="Arial" w:hAnsi="Arial"/>
          <w:b/>
          <w:i w:val="false"/>
          <w:color w:val="1F4E79"/>
          <w:sz w:val="28"/>
        </w:rPr>
        <w:t>9. Documents et enregistrements associés</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2256"/>
        <w:gridCol w:w="2257"/>
        <w:gridCol w:w="2256"/>
        <w:gridCol w:w="2256"/>
      </w:tblGrid>
      <w:tr>
        <w:trPr>
          <w:tblHeader w:val="true"/>
        </w:trPr>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Code</w:t>
            </w:r>
          </w:p>
        </w:tc>
        <w:tc>
          <w:tcPr>
            <w:tcW w:w="2257"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Intitulé</w:t>
            </w:r>
          </w:p>
        </w:tc>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Nature</w:t>
            </w:r>
          </w:p>
        </w:tc>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Conservation</w:t>
            </w:r>
          </w:p>
        </w:tc>
      </w:tr>
      <w:tr>
        <w:trPr/>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S-CRY-001</w:t>
            </w:r>
          </w:p>
        </w:tc>
        <w:tc>
          <w:tcPr>
            <w:tcW w:w="2257"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Registre des clés et des certificats</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Registre</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Permanente</w:t>
            </w:r>
          </w:p>
        </w:tc>
      </w:tr>
      <w:tr>
        <w:trPr/>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PO-SI-001</w:t>
            </w:r>
          </w:p>
        </w:tc>
        <w:tc>
          <w:tcPr>
            <w:tcW w:w="2257"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Politique thématique de cryptographie</w:t>
            </w:r>
          </w:p>
        </w:tc>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Politique</w:t>
            </w:r>
          </w:p>
        </w:tc>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Version en vigueur</w:t>
            </w:r>
          </w:p>
        </w:tc>
      </w:tr>
      <w:tr>
        <w:trPr/>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Procès-verbaux</w:t>
            </w:r>
          </w:p>
        </w:tc>
        <w:tc>
          <w:tcPr>
            <w:tcW w:w="2257"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Procès-verbaux de séquestre et de destruction de clés</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Preuve</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10 ans</w:t>
            </w:r>
          </w:p>
        </w:tc>
      </w:tr>
    </w:tbl>
    <w:p>
      <w:pPr>
        <w:pStyle w:val="Normal"/>
        <w:spacing w:before="0" w:after="80"/>
        <w:rPr/>
      </w:pPr>
      <w:r>
        <w:rPr/>
      </w:r>
    </w:p>
    <w:p>
      <w:pPr>
        <w:pStyle w:val="Heading1"/>
        <w:pBdr>
          <w:left w:val="single" w:sz="24" w:space="3" w:color="4F9B3E"/>
          <w:bottom w:val="single" w:sz="6" w:space="3" w:color="E0EBF7"/>
        </w:pBdr>
        <w:shd w:val="clear" w:fill="F7FAFD"/>
        <w:spacing w:before="260" w:after="140"/>
        <w:ind w:left="113"/>
        <w:rPr/>
      </w:pPr>
      <w:bookmarkStart w:id="17" w:name="__RefHeading___Toc22323_3757726110"/>
      <w:bookmarkEnd w:id="17"/>
      <w:r>
        <w:rPr>
          <w:rFonts w:eastAsia="Arial" w:cs="Arial" w:ascii="Arial" w:hAnsi="Arial"/>
          <w:b/>
          <w:i w:val="false"/>
          <w:color w:val="1F4E79"/>
          <w:sz w:val="28"/>
        </w:rPr>
        <w:t>10. Historique des révisions</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2256"/>
        <w:gridCol w:w="2257"/>
        <w:gridCol w:w="2256"/>
        <w:gridCol w:w="2256"/>
      </w:tblGrid>
      <w:tr>
        <w:trPr>
          <w:tblHeader w:val="true"/>
        </w:trPr>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Version</w:t>
            </w:r>
          </w:p>
        </w:tc>
        <w:tc>
          <w:tcPr>
            <w:tcW w:w="2257"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Date</w:t>
            </w:r>
          </w:p>
        </w:tc>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Nature de la modification</w:t>
            </w:r>
          </w:p>
        </w:tc>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Auteur</w:t>
            </w:r>
          </w:p>
        </w:tc>
      </w:tr>
      <w:tr>
        <w:trPr/>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jc w:val="center"/>
              <w:rPr/>
            </w:pPr>
            <w:r>
              <w:rPr>
                <w:rFonts w:eastAsia="Arial" w:cs="Arial"/>
                <w:b w:val="false"/>
                <w:i w:val="false"/>
                <w:color w:val="1C2634"/>
                <w:sz w:val="19"/>
              </w:rPr>
              <w:t>1.0</w:t>
            </w:r>
          </w:p>
        </w:tc>
        <w:tc>
          <w:tcPr>
            <w:tcW w:w="2257"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Juillet 2026</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Création de la procédure.</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[RSSI]</w:t>
            </w:r>
          </w:p>
        </w:tc>
      </w:tr>
      <w:tr>
        <w:trPr/>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jc w:val="center"/>
              <w:rPr/>
            </w:pPr>
            <w:r>
              <w:rPr/>
            </w:r>
          </w:p>
        </w:tc>
        <w:tc>
          <w:tcPr>
            <w:tcW w:w="2257"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
          </w:p>
        </w:tc>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
          </w:p>
        </w:tc>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
          </w:p>
        </w:tc>
      </w:tr>
    </w:tbl>
    <w:p>
      <w:pPr>
        <w:pStyle w:val="Normal"/>
        <w:spacing w:before="0" w:after="80"/>
        <w:rPr/>
      </w:pPr>
      <w:r>
        <w:rPr/>
      </w:r>
    </w:p>
    <w:p>
      <w:pPr>
        <w:pStyle w:val="Heading1"/>
        <w:pBdr>
          <w:left w:val="single" w:sz="24" w:space="3" w:color="4F9B3E"/>
          <w:bottom w:val="single" w:sz="6" w:space="3" w:color="E0EBF7"/>
        </w:pBdr>
        <w:shd w:val="clear" w:fill="F7FAFD"/>
        <w:spacing w:before="260" w:after="140"/>
        <w:ind w:left="113"/>
        <w:rPr/>
      </w:pPr>
      <w:bookmarkStart w:id="18" w:name="__RefHeading___Toc22325_3757726110"/>
      <w:bookmarkEnd w:id="18"/>
      <w:r>
        <w:rPr>
          <w:rFonts w:eastAsia="Arial" w:cs="Arial" w:ascii="Arial" w:hAnsi="Arial"/>
          <w:b/>
          <w:i w:val="false"/>
          <w:color w:val="1F4E79"/>
          <w:sz w:val="28"/>
        </w:rPr>
        <w:t>Approbation du document</w:t>
      </w:r>
    </w:p>
    <w:p>
      <w:pPr>
        <w:pStyle w:val="Normal"/>
        <w:spacing w:before="0" w:after="120"/>
        <w:jc w:val="both"/>
        <w:rPr/>
      </w:pPr>
      <w:r>
        <w:rPr>
          <w:rFonts w:eastAsia="Arial" w:cs="Arial"/>
          <w:b w:val="false"/>
          <w:i w:val="false"/>
          <w:color w:val="222222"/>
          <w:sz w:val="20"/>
        </w:rPr>
        <w:t>Le présent document entre en vigueur à compter de sa date d'approbation. Toute diffusion ou reproduction hors de l'organisme est soumise à autorisation préalable.</w:t>
      </w:r>
    </w:p>
    <w:tbl>
      <w:tblPr>
        <w:tblW w:w="9026" w:type="dxa"/>
        <w:jc w:val="left"/>
        <w:tblInd w:w="0" w:type="dxa"/>
        <w:tblLayout w:type="fixed"/>
        <w:tblCellMar>
          <w:top w:w="70" w:type="dxa"/>
          <w:left w:w="105" w:type="dxa"/>
          <w:bottom w:w="70" w:type="dxa"/>
          <w:right w:w="105" w:type="dxa"/>
        </w:tblCellMar>
        <w:tblLook w:val="04a0" w:noHBand="0" w:noVBand="1" w:firstColumn="1" w:lastRow="0" w:lastColumn="0" w:firstRow="1"/>
      </w:tblPr>
      <w:tblGrid>
        <w:gridCol w:w="2256"/>
        <w:gridCol w:w="2257"/>
        <w:gridCol w:w="2256"/>
        <w:gridCol w:w="2256"/>
      </w:tblGrid>
      <w:tr>
        <w:trPr>
          <w:tblHeader w:val="true"/>
        </w:trPr>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Étape</w:t>
            </w:r>
          </w:p>
        </w:tc>
        <w:tc>
          <w:tcPr>
            <w:tcW w:w="2257"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Fonction / Nom</w:t>
            </w:r>
          </w:p>
        </w:tc>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Date</w:t>
            </w:r>
          </w:p>
        </w:tc>
        <w:tc>
          <w:tcPr>
            <w:tcW w:w="2256" w:type="dxa"/>
            <w:tcBorders>
              <w:top w:val="single" w:sz="2" w:space="0" w:color="BFBFBF"/>
              <w:left w:val="single" w:sz="2" w:space="0" w:color="D9D9D9"/>
              <w:bottom w:val="single" w:sz="8" w:space="0" w:color="4F9B3E"/>
              <w:right w:val="single" w:sz="2" w:space="0" w:color="D9D9D9"/>
            </w:tcBorders>
            <w:shd w:fill="1F4E79" w:val="clear"/>
            <w:vAlign w:val="center"/>
          </w:tcPr>
          <w:p>
            <w:pPr>
              <w:pStyle w:val="Normal"/>
              <w:spacing w:before="20" w:after="20"/>
              <w:jc w:val="center"/>
              <w:rPr/>
            </w:pPr>
            <w:r>
              <w:rPr>
                <w:rFonts w:eastAsia="Arial" w:cs="Arial"/>
                <w:b/>
                <w:i w:val="false"/>
                <w:color w:val="FFFFFF"/>
                <w:sz w:val="19"/>
              </w:rPr>
              <w:t>Signature</w:t>
            </w:r>
          </w:p>
        </w:tc>
      </w:tr>
      <w:tr>
        <w:trPr/>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Rédaction</w:t>
            </w:r>
          </w:p>
        </w:tc>
        <w:tc>
          <w:tcPr>
            <w:tcW w:w="2257"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[Responsable de la sécurité de l'information (RSSI)]</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
          </w:p>
        </w:tc>
      </w:tr>
      <w:tr>
        <w:trPr/>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Vérification</w:t>
            </w:r>
          </w:p>
        </w:tc>
        <w:tc>
          <w:tcPr>
            <w:tcW w:w="2257"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Fonts w:eastAsia="Arial" w:cs="Arial"/>
                <w:b w:val="false"/>
                <w:i w:val="false"/>
                <w:color w:val="1C2634"/>
                <w:sz w:val="19"/>
              </w:rPr>
              <w:t>[Responsable du SMSI / Qualité]</w:t>
            </w:r>
          </w:p>
        </w:tc>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
          </w:p>
        </w:tc>
        <w:tc>
          <w:tcPr>
            <w:tcW w:w="2256" w:type="dxa"/>
            <w:tcBorders>
              <w:top w:val="single" w:sz="2" w:space="0" w:color="BFBFBF"/>
              <w:left w:val="single" w:sz="2" w:space="0" w:color="D9D9D9"/>
              <w:bottom w:val="single" w:sz="2" w:space="0" w:color="BFBFBF"/>
              <w:right w:val="single" w:sz="2" w:space="0" w:color="D9D9D9"/>
            </w:tcBorders>
            <w:shd w:fill="F7FAFD" w:val="clear"/>
            <w:vAlign w:val="center"/>
          </w:tcPr>
          <w:p>
            <w:pPr>
              <w:pStyle w:val="Normal"/>
              <w:spacing w:before="20" w:after="20"/>
              <w:rPr/>
            </w:pPr>
            <w:r>
              <w:rPr/>
            </w:r>
          </w:p>
        </w:tc>
      </w:tr>
      <w:tr>
        <w:trPr/>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Approbation</w:t>
            </w:r>
          </w:p>
        </w:tc>
        <w:tc>
          <w:tcPr>
            <w:tcW w:w="2257"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Fonts w:eastAsia="Arial" w:cs="Arial"/>
                <w:b w:val="false"/>
                <w:i w:val="false"/>
                <w:color w:val="1C2634"/>
                <w:sz w:val="19"/>
              </w:rPr>
              <w:t>[Direction générale]</w:t>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
          </w:p>
        </w:tc>
        <w:tc>
          <w:tcPr>
            <w:tcW w:w="2256" w:type="dxa"/>
            <w:tcBorders>
              <w:top w:val="single" w:sz="2" w:space="0" w:color="BFBFBF"/>
              <w:left w:val="single" w:sz="2" w:space="0" w:color="D9D9D9"/>
              <w:bottom w:val="single" w:sz="2" w:space="0" w:color="BFBFBF"/>
              <w:right w:val="single" w:sz="2" w:space="0" w:color="D9D9D9"/>
            </w:tcBorders>
            <w:shd w:fill="FFFFFF" w:val="clear"/>
            <w:vAlign w:val="center"/>
          </w:tcPr>
          <w:p>
            <w:pPr>
              <w:pStyle w:val="Normal"/>
              <w:spacing w:before="20" w:after="20"/>
              <w:rPr/>
            </w:pPr>
            <w:r>
              <w:rPr/>
            </w:r>
          </w:p>
        </w:tc>
      </w:tr>
    </w:tbl>
    <w:p>
      <w:pPr>
        <w:pStyle w:val="Normal"/>
        <w:spacing w:before="0" w:after="80"/>
        <w:rPr/>
      </w:pPr>
      <w:r>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080" w:right="1080" w:gutter="0" w:header="561" w:top="1502" w:footer="459" w:bottom="1202"/>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Courier">
    <w:altName w:val="Courier New"/>
    <w:charset w:val="01"/>
    <w:family w:val="roman"/>
    <w:pitch w:val="variable"/>
  </w:font>
  <w:font w:name="Liberation Sans">
    <w:altName w:val="Arial"/>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3" w:color="BFBFBF"/>
      </w:pBdr>
      <w:spacing w:before="0" w:after="0"/>
      <w:rPr/>
    </w:pPr>
    <w:r>
      <w:rPr/>
    </w:r>
  </w:p>
  <w:p>
    <w:pPr>
      <w:pStyle w:val="Normal"/>
      <w:spacing w:before="40" w:after="0"/>
      <w:jc w:val="center"/>
      <w:rPr/>
    </w:pPr>
    <w:r>
      <w:rPr>
        <w:rFonts w:eastAsia="Arial" w:cs="Arial"/>
        <w:b w:val="false"/>
        <w:i w:val="false"/>
        <w:color w:val="606A78"/>
        <w:sz w:val="16"/>
      </w:rPr>
      <w:t xml:space="preserve">PR-EXP-004 · Confidentiel · hem-consulting.com · Page </w:t>
    </w:r>
    <w:r>
      <w:rPr/>
      <w:fldChar w:fldCharType="begin"/>
    </w:r>
    <w:r>
      <w:rPr/>
      <w:instrText xml:space="preserve"> PAGE </w:instrText>
    </w:r>
    <w:r>
      <w:rPr/>
      <w:fldChar w:fldCharType="separate"/>
    </w:r>
    <w:r>
      <w:rPr/>
      <w:t>10</w:t>
    </w:r>
    <w:r>
      <w:rPr/>
      <w:fldChar w:fldCharType="end"/>
    </w:r>
    <w:r>
      <w:rPr>
        <w:rFonts w:eastAsia="Arial" w:cs="Arial"/>
        <w:b w:val="false"/>
        <w:i w:val="false"/>
        <w:color w:val="606A78"/>
        <w:sz w:val="16"/>
      </w:rPr>
      <w:t xml:space="preserve"> / </w:t>
    </w:r>
    <w:r>
      <w:rPr/>
      <w:fldChar w:fldCharType="begin"/>
    </w:r>
    <w:r>
      <w:rPr/>
      <w:instrText xml:space="preserve"> NUMPAGES </w:instrText>
    </w:r>
    <w:r>
      <w:rPr/>
      <w:fldChar w:fldCharType="separate"/>
    </w:r>
    <w:r>
      <w:rPr/>
      <w:t>10</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3" w:color="BFBFBF"/>
      </w:pBdr>
      <w:spacing w:before="0" w:after="0"/>
      <w:rPr/>
    </w:pPr>
    <w:r>
      <w:rPr/>
    </w:r>
  </w:p>
  <w:p>
    <w:pPr>
      <w:pStyle w:val="Normal"/>
      <w:spacing w:before="40" w:after="0"/>
      <w:jc w:val="center"/>
      <w:rPr/>
    </w:pPr>
    <w:r>
      <w:rPr>
        <w:rFonts w:eastAsia="Arial" w:cs="Arial"/>
        <w:b w:val="false"/>
        <w:i w:val="false"/>
        <w:color w:val="606A78"/>
        <w:sz w:val="16"/>
      </w:rPr>
      <w:t xml:space="preserve">PR-EXP-004 · Confidentiel · hem-consulting.com · Page </w:t>
    </w:r>
    <w:r>
      <w:rPr/>
      <w:fldChar w:fldCharType="begin"/>
    </w:r>
    <w:r>
      <w:rPr/>
      <w:instrText xml:space="preserve"> PAGE </w:instrText>
    </w:r>
    <w:r>
      <w:rPr/>
      <w:fldChar w:fldCharType="separate"/>
    </w:r>
    <w:r>
      <w:rPr/>
      <w:t>10</w:t>
    </w:r>
    <w:r>
      <w:rPr/>
      <w:fldChar w:fldCharType="end"/>
    </w:r>
    <w:r>
      <w:rPr>
        <w:rFonts w:eastAsia="Arial" w:cs="Arial"/>
        <w:b w:val="false"/>
        <w:i w:val="false"/>
        <w:color w:val="606A78"/>
        <w:sz w:val="16"/>
      </w:rPr>
      <w:t xml:space="preserve"> / </w:t>
    </w:r>
    <w:r>
      <w:rPr/>
      <w:fldChar w:fldCharType="begin"/>
    </w:r>
    <w:r>
      <w:rPr/>
      <w:instrText xml:space="preserve"> NUMPAGES </w:instrText>
    </w:r>
    <w:r>
      <w:rPr/>
      <w:fldChar w:fldCharType="separate"/>
    </w:r>
    <w:r>
      <w:rPr/>
      <w:t>10</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964"/>
      <w:gridCol w:w="4061"/>
    </w:tblGrid>
    <w:tr>
      <w:trPr/>
      <w:tc>
        <w:tcPr>
          <w:tcW w:w="4964" w:type="dxa"/>
          <w:tcBorders/>
        </w:tcPr>
        <w:p>
          <w:pPr>
            <w:pStyle w:val="Normal"/>
            <w:pBdr>
              <w:top w:val="dashed" w:sz="4" w:space="3" w:color="2E75B6"/>
              <w:left w:val="dashed" w:sz="4" w:space="3" w:color="2E75B6"/>
              <w:bottom w:val="dashed" w:sz="4" w:space="3" w:color="2E75B6"/>
              <w:right w:val="dashed" w:sz="4" w:space="3" w:color="2E75B6"/>
            </w:pBdr>
            <w:spacing w:before="0" w:after="0"/>
            <w:rPr/>
          </w:pPr>
          <w:r>
            <w:rPr>
              <w:rFonts w:eastAsia="Arial" w:cs="Arial"/>
              <w:b w:val="false"/>
              <w:i/>
              <w:color w:val="606A78"/>
              <w:sz w:val="18"/>
            </w:rPr>
            <w:t>[Votre Logo Ici]</w:t>
          </w:r>
        </w:p>
        <w:p>
          <w:pPr>
            <w:pStyle w:val="Normal"/>
            <w:spacing w:before="0" w:after="0"/>
            <w:rPr/>
          </w:pPr>
          <w:r>
            <w:rPr>
              <w:rFonts w:eastAsia="Arial" w:cs="Arial"/>
              <w:b w:val="false"/>
              <w:i/>
              <w:color w:val="606A78"/>
              <w:sz w:val="18"/>
            </w:rPr>
            <w:t>[Nom organisation]</w:t>
          </w:r>
        </w:p>
      </w:tc>
      <w:tc>
        <w:tcPr>
          <w:tcW w:w="4061" w:type="dxa"/>
          <w:tcBorders/>
        </w:tcPr>
        <w:p>
          <w:pPr>
            <w:pStyle w:val="Normal"/>
            <w:spacing w:before="0" w:after="0"/>
            <w:jc w:val="right"/>
            <w:rPr/>
          </w:pPr>
          <w:r>
            <w:rPr/>
            <w:drawing>
              <wp:inline distT="0" distB="0" distL="0" distR="0">
                <wp:extent cx="467995" cy="467995"/>
                <wp:effectExtent l="0" t="0" r="0" b="0"/>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1"/>
                        <a:stretch>
                          <a:fillRect/>
                        </a:stretch>
                      </pic:blipFill>
                      <pic:spPr bwMode="auto">
                        <a:xfrm>
                          <a:off x="0" y="0"/>
                          <a:ext cx="467995" cy="467995"/>
                        </a:xfrm>
                        <a:prstGeom prst="rect">
                          <a:avLst/>
                        </a:prstGeom>
                      </pic:spPr>
                    </pic:pic>
                  </a:graphicData>
                </a:graphic>
              </wp:inline>
            </w:drawing>
          </w:r>
        </w:p>
        <w:p>
          <w:pPr>
            <w:pStyle w:val="Normal"/>
            <w:spacing w:before="0" w:after="0"/>
            <w:jc w:val="right"/>
            <w:rPr/>
          </w:pPr>
          <w:r>
            <w:rPr>
              <w:rFonts w:eastAsia="Arial" w:cs="Arial"/>
              <w:b w:val="false"/>
              <w:i/>
              <w:color w:val="606A78"/>
              <w:sz w:val="16"/>
            </w:rPr>
            <w:t>Édité par HEMC</w:t>
          </w:r>
        </w:p>
      </w:tc>
    </w:tr>
  </w:tbl>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964"/>
      <w:gridCol w:w="4061"/>
    </w:tblGrid>
    <w:tr>
      <w:trPr/>
      <w:tc>
        <w:tcPr>
          <w:tcW w:w="4964" w:type="dxa"/>
          <w:tcBorders/>
        </w:tcPr>
        <w:p>
          <w:pPr>
            <w:pStyle w:val="Normal"/>
            <w:pBdr>
              <w:top w:val="dashed" w:sz="4" w:space="3" w:color="2E75B6"/>
              <w:left w:val="dashed" w:sz="4" w:space="3" w:color="2E75B6"/>
              <w:bottom w:val="dashed" w:sz="4" w:space="3" w:color="2E75B6"/>
              <w:right w:val="dashed" w:sz="4" w:space="3" w:color="2E75B6"/>
            </w:pBdr>
            <w:spacing w:before="0" w:after="0"/>
            <w:rPr/>
          </w:pPr>
          <w:r>
            <w:rPr>
              <w:rFonts w:eastAsia="Arial" w:cs="Arial"/>
              <w:b w:val="false"/>
              <w:i/>
              <w:color w:val="606A78"/>
              <w:sz w:val="18"/>
            </w:rPr>
            <w:t>[Votre Logo Ici]</w:t>
          </w:r>
        </w:p>
        <w:p>
          <w:pPr>
            <w:pStyle w:val="Normal"/>
            <w:spacing w:before="0" w:after="0"/>
            <w:rPr/>
          </w:pPr>
          <w:r>
            <w:rPr>
              <w:rFonts w:eastAsia="Arial" w:cs="Arial"/>
              <w:b w:val="false"/>
              <w:i/>
              <w:color w:val="606A78"/>
              <w:sz w:val="18"/>
            </w:rPr>
            <w:t>[Nom organisation]</w:t>
          </w:r>
        </w:p>
      </w:tc>
      <w:tc>
        <w:tcPr>
          <w:tcW w:w="4061" w:type="dxa"/>
          <w:tcBorders/>
        </w:tcPr>
        <w:p>
          <w:pPr>
            <w:pStyle w:val="Normal"/>
            <w:spacing w:before="0" w:after="0"/>
            <w:jc w:val="right"/>
            <w:rPr/>
          </w:pPr>
          <w:r>
            <w:rPr/>
            <w:drawing>
              <wp:inline distT="0" distB="0" distL="0" distR="0">
                <wp:extent cx="467995" cy="467995"/>
                <wp:effectExtent l="0" t="0" r="0" b="0"/>
                <wp:docPr id="4"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descr=""/>
                        <pic:cNvPicPr>
                          <a:picLocks noChangeAspect="1" noChangeArrowheads="1"/>
                        </pic:cNvPicPr>
                      </pic:nvPicPr>
                      <pic:blipFill>
                        <a:blip r:embed="rId1"/>
                        <a:stretch>
                          <a:fillRect/>
                        </a:stretch>
                      </pic:blipFill>
                      <pic:spPr bwMode="auto">
                        <a:xfrm>
                          <a:off x="0" y="0"/>
                          <a:ext cx="467995" cy="467995"/>
                        </a:xfrm>
                        <a:prstGeom prst="rect">
                          <a:avLst/>
                        </a:prstGeom>
                      </pic:spPr>
                    </pic:pic>
                  </a:graphicData>
                </a:graphic>
              </wp:inline>
            </w:drawing>
          </w:r>
        </w:p>
        <w:p>
          <w:pPr>
            <w:pStyle w:val="Normal"/>
            <w:spacing w:before="0" w:after="0"/>
            <w:jc w:val="right"/>
            <w:rPr/>
          </w:pPr>
          <w:r>
            <w:rPr>
              <w:rFonts w:eastAsia="Arial" w:cs="Arial"/>
              <w:b w:val="false"/>
              <w:i/>
              <w:color w:val="606A78"/>
              <w:sz w:val="16"/>
            </w:rPr>
            <w:t>Édité par HEMC</w:t>
          </w:r>
        </w:p>
      </w:tc>
    </w:tr>
  </w:tbl>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decimal"/>
      <w:lvlText w:val="%1."/>
      <w:lvlJc w:val="left"/>
      <w:pPr>
        <w:tabs>
          <w:tab w:val="num" w:pos="1080"/>
        </w:tabs>
        <w:ind w:left="108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ＭＳ 明朝"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c693f"/>
    <w:pPr>
      <w:widowControl/>
      <w:bidi w:val="0"/>
      <w:spacing w:lineRule="auto" w:line="268" w:before="0" w:after="120"/>
      <w:jc w:val="left"/>
    </w:pPr>
    <w:rPr>
      <w:rFonts w:ascii="Arial" w:hAnsi="Arial" w:eastAsia="Arial" w:cs="Arial"/>
      <w:color w:val="222222"/>
      <w:kern w:val="0"/>
      <w:sz w:val="20"/>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200" w:after="100"/>
      <w:outlineLvl w:val="0"/>
    </w:pPr>
    <w:rPr>
      <w:rFonts w:ascii="Calibri" w:hAnsi="Calibri" w:eastAsia="ＭＳ ゴシック" w:cs="" w:asciiTheme="majorHAnsi" w:cstheme="majorBidi" w:eastAsiaTheme="majorEastAsia" w:hAnsiTheme="majorHAnsi"/>
      <w:b/>
      <w:bCs/>
      <w:color w:val="1F4E79"/>
      <w:sz w:val="28"/>
      <w:szCs w:val="28"/>
    </w:rPr>
  </w:style>
  <w:style w:type="paragraph" w:styleId="Heading2">
    <w:name w:val="Heading 2"/>
    <w:basedOn w:val="Normal"/>
    <w:next w:val="Normal"/>
    <w:link w:val="Heading2Char"/>
    <w:uiPriority w:val="9"/>
    <w:unhideWhenUsed/>
    <w:qFormat/>
    <w:rsid w:val="00fc693f"/>
    <w:pPr>
      <w:keepNext w:val="true"/>
      <w:keepLines/>
      <w:spacing w:before="200" w:after="100"/>
      <w:outlineLvl w:val="1"/>
    </w:pPr>
    <w:rPr>
      <w:rFonts w:ascii="Calibri" w:hAnsi="Calibri" w:eastAsia="ＭＳ ゴシック" w:cs="" w:asciiTheme="majorHAnsi" w:cstheme="majorBidi" w:eastAsiaTheme="majorEastAsia" w:hAnsiTheme="majorHAnsi"/>
      <w:b/>
      <w:bCs/>
      <w:color w:val="2E75B6"/>
      <w:sz w:val="23"/>
      <w:szCs w:val="26"/>
    </w:rPr>
  </w:style>
  <w:style w:type="paragraph" w:styleId="Heading3">
    <w:name w:val="Heading 3"/>
    <w:basedOn w:val="Normal"/>
    <w:next w:val="Normal"/>
    <w:link w:val="Heading3Char"/>
    <w:uiPriority w:val="9"/>
    <w:unhideWhenUsed/>
    <w:qFormat/>
    <w:rsid w:val="00fc693f"/>
    <w:pPr>
      <w:keepNext w:val="true"/>
      <w:keepLines/>
      <w:spacing w:before="200" w:after="100"/>
      <w:outlineLvl w:val="2"/>
    </w:pPr>
    <w:rPr>
      <w:rFonts w:ascii="Calibri" w:hAnsi="Calibri" w:eastAsia="ＭＳ ゴシック" w:cs="" w:asciiTheme="majorHAnsi" w:cstheme="majorBidi" w:eastAsiaTheme="majorEastAsia" w:hAnsiTheme="majorHAnsi"/>
      <w:b/>
      <w:bCs/>
      <w:color w:val="112C48"/>
      <w:sz w:val="21"/>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ＭＳ ゴシック"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ＭＳ ゴシック"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ＭＳ ゴシック"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ＭＳ ゴシック"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ＭＳ ゴシック"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fc693f"/>
    <w:rPr>
      <w:rFonts w:ascii="Calibri" w:hAnsi="Calibri" w:eastAsia="ＭＳ ゴシック"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ＭＳ ゴシック"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ＭＳ ゴシック"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ＭＳ ゴシック"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ＭＳ ゴシック"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ＭＳ ゴシック"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ＭＳ ゴシック"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ＭＳ ゴシック"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ＭＳ ゴシック"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Hyperlink">
    <w:name w:val="Hyperlink"/>
    <w:rPr>
      <w:color w:val="000080"/>
      <w:u w:val="single"/>
    </w:rPr>
  </w:style>
  <w:style w:type="character" w:styleId="IndexLink">
    <w:name w:val="Index Link"/>
    <w:qFormat/>
    <w:rPr/>
  </w:style>
  <w:style w:type="paragraph" w:styleId="Heading">
    <w:name w:val="Heading"/>
    <w:basedOn w:val="Normal"/>
    <w:next w:val="BodyText"/>
    <w:qFormat/>
    <w:pPr>
      <w:keepNext w:val="true"/>
      <w:spacing w:before="240" w:after="120"/>
    </w:pPr>
    <w:rPr>
      <w:rFonts w:ascii="Liberation Sans" w:hAnsi="Liberation Sans" w:eastAsia="Noto Sans CJK SC" w:cs="FreeSans"/>
      <w:sz w:val="28"/>
      <w:szCs w:val="28"/>
    </w:rPr>
  </w:style>
  <w:style w:type="paragraph" w:styleId="BodyText">
    <w:name w:val="Body Text"/>
    <w:basedOn w:val="Normal"/>
    <w:link w:val="BodyTextChar"/>
    <w:uiPriority w:val="99"/>
    <w:unhideWhenUsed/>
    <w:rsid w:val="00aa1d8d"/>
    <w:pPr>
      <w:spacing w:before="0" w:after="120"/>
    </w:pPr>
    <w:rPr/>
  </w:style>
  <w:style w:type="paragraph" w:styleId="List">
    <w:name w:val="List"/>
    <w:basedOn w:val="Normal"/>
    <w:uiPriority w:val="99"/>
    <w:unhideWhenUsed/>
    <w:rsid w:val="00aa1d8d"/>
    <w:pPr>
      <w:spacing w:before="0" w:after="120"/>
      <w:ind w:hanging="360" w:lef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bidi w:val="0"/>
      <w:spacing w:lineRule="auto" w:line="240" w:before="0" w:after="0"/>
      <w:jc w:val="left"/>
    </w:pPr>
    <w:rPr>
      <w:rFonts w:ascii="Cambria" w:hAnsi="Cambria" w:eastAsia="ＭＳ 明朝"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ＭＳ ゴシック" w:cs="" w:asciiTheme="majorHAnsi" w:cstheme="majorBidi" w:eastAsiaTheme="majorEastAsia" w:hAnsiTheme="majorHAnsi"/>
      <w:color w:themeColor="text2" w:themeShade="bf" w:val="17365D"/>
      <w:spacing w:val="5"/>
      <w:kern w:val="2"/>
      <w:sz w:val="52"/>
      <w:szCs w:val="52"/>
    </w:rPr>
  </w:style>
  <w:style w:type="paragraph" w:styleId="Subtitle">
    <w:name w:val="Subtitle"/>
    <w:basedOn w:val="Normal"/>
    <w:next w:val="Normal"/>
    <w:link w:val="SubtitleChar"/>
    <w:uiPriority w:val="11"/>
    <w:qFormat/>
    <w:rsid w:val="00fc693f"/>
    <w:pPr/>
    <w:rPr>
      <w:rFonts w:ascii="Calibri" w:hAnsi="Calibri" w:eastAsia="ＭＳ ゴシック"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120"/>
      <w:ind w:left="720"/>
      <w:contextualSpacing/>
    </w:pPr>
    <w:rPr/>
  </w:style>
  <w:style w:type="paragraph" w:styleId="BodyText2">
    <w:name w:val="Body Text 2"/>
    <w:basedOn w:val="Normal"/>
    <w:link w:val="BodyText2Char"/>
    <w:uiPriority w:val="99"/>
    <w:unhideWhenUsed/>
    <w:qFormat/>
    <w:rsid w:val="00aa1d8d"/>
    <w:pPr>
      <w:spacing w:lineRule="auto" w:line="480" w:before="0" w:after="120"/>
    </w:pPr>
    <w:rPr/>
  </w:style>
  <w:style w:type="paragraph" w:styleId="BodyText3">
    <w:name w:val="Body Text 3"/>
    <w:basedOn w:val="Normal"/>
    <w:link w:val="BodyText3Char"/>
    <w:uiPriority w:val="99"/>
    <w:unhideWhenUsed/>
    <w:qFormat/>
    <w:rsid w:val="00aa1d8d"/>
    <w:pPr>
      <w:spacing w:before="0" w:after="120"/>
    </w:pPr>
    <w:rPr>
      <w:sz w:val="16"/>
      <w:szCs w:val="16"/>
    </w:rPr>
  </w:style>
  <w:style w:type="paragraph" w:styleId="List2">
    <w:name w:val="List 2"/>
    <w:basedOn w:val="Normal"/>
    <w:uiPriority w:val="99"/>
    <w:unhideWhenUsed/>
    <w:qFormat/>
    <w:rsid w:val="00326f90"/>
    <w:pPr>
      <w:spacing w:before="0" w:after="120"/>
      <w:ind w:hanging="360" w:left="720"/>
      <w:contextualSpacing/>
    </w:pPr>
    <w:rPr/>
  </w:style>
  <w:style w:type="paragraph" w:styleId="List3">
    <w:name w:val="List 3"/>
    <w:basedOn w:val="Normal"/>
    <w:uiPriority w:val="99"/>
    <w:unhideWhenUsed/>
    <w:qFormat/>
    <w:rsid w:val="00326f90"/>
    <w:pPr>
      <w:spacing w:before="0" w:after="120"/>
      <w:ind w:hanging="360" w:left="1080"/>
      <w:contextualSpacing/>
    </w:pPr>
    <w:rPr/>
  </w:style>
  <w:style w:type="paragraph" w:styleId="ListBullet">
    <w:name w:val="List Bullet"/>
    <w:basedOn w:val="Normal"/>
    <w:uiPriority w:val="99"/>
    <w:unhideWhenUsed/>
    <w:rsid w:val="00326f90"/>
    <w:pPr>
      <w:numPr>
        <w:ilvl w:val="0"/>
        <w:numId w:val="1"/>
      </w:numPr>
      <w:spacing w:before="0" w:after="120"/>
      <w:contextualSpacing/>
    </w:pPr>
    <w:rPr/>
  </w:style>
  <w:style w:type="paragraph" w:styleId="ListBullet2">
    <w:name w:val="List Bullet 2"/>
    <w:basedOn w:val="Normal"/>
    <w:uiPriority w:val="99"/>
    <w:unhideWhenUsed/>
    <w:rsid w:val="00326f90"/>
    <w:pPr>
      <w:numPr>
        <w:ilvl w:val="0"/>
        <w:numId w:val="2"/>
      </w:numPr>
      <w:spacing w:before="0" w:after="120"/>
      <w:contextualSpacing/>
    </w:pPr>
    <w:rPr/>
  </w:style>
  <w:style w:type="paragraph" w:styleId="ListBullet3">
    <w:name w:val="List Bullet 3"/>
    <w:basedOn w:val="Normal"/>
    <w:uiPriority w:val="99"/>
    <w:unhideWhenUsed/>
    <w:rsid w:val="00326f90"/>
    <w:pPr>
      <w:numPr>
        <w:ilvl w:val="0"/>
        <w:numId w:val="3"/>
      </w:numPr>
      <w:spacing w:before="0" w:after="120"/>
      <w:contextualSpacing/>
    </w:pPr>
    <w:rPr/>
  </w:style>
  <w:style w:type="paragraph" w:styleId="ListNumber">
    <w:name w:val="List Number"/>
    <w:basedOn w:val="Normal"/>
    <w:uiPriority w:val="99"/>
    <w:unhideWhenUsed/>
    <w:rsid w:val="00326f90"/>
    <w:pPr>
      <w:numPr>
        <w:ilvl w:val="0"/>
        <w:numId w:val="4"/>
      </w:numPr>
      <w:spacing w:before="0" w:after="120"/>
      <w:contextualSpacing/>
    </w:pPr>
    <w:rPr/>
  </w:style>
  <w:style w:type="paragraph" w:styleId="ListNumber2">
    <w:name w:val="List Number 2"/>
    <w:basedOn w:val="Normal"/>
    <w:uiPriority w:val="99"/>
    <w:unhideWhenUsed/>
    <w:rsid w:val="0029639d"/>
    <w:pPr>
      <w:numPr>
        <w:ilvl w:val="0"/>
        <w:numId w:val="5"/>
      </w:numPr>
      <w:spacing w:before="0" w:after="120"/>
      <w:contextualSpacing/>
    </w:pPr>
    <w:rPr/>
  </w:style>
  <w:style w:type="paragraph" w:styleId="ListNumber3">
    <w:name w:val="List Number 3"/>
    <w:basedOn w:val="Normal"/>
    <w:uiPriority w:val="99"/>
    <w:unhideWhenUsed/>
    <w:rsid w:val="0029639d"/>
    <w:pPr>
      <w:numPr>
        <w:ilvl w:val="0"/>
        <w:numId w:val="6"/>
      </w:numPr>
      <w:spacing w:before="0" w:after="120"/>
      <w:contextualSpacing/>
    </w:pPr>
    <w:rPr/>
  </w:style>
  <w:style w:type="paragraph" w:styleId="ListContinue">
    <w:name w:val="List Continue"/>
    <w:basedOn w:val="Normal"/>
    <w:uiPriority w:val="99"/>
    <w:unhideWhenUsed/>
    <w:rsid w:val="0029639d"/>
    <w:pPr>
      <w:spacing w:before="0" w:after="120"/>
      <w:ind w:left="360"/>
      <w:contextualSpacing/>
    </w:pPr>
    <w:rPr/>
  </w:style>
  <w:style w:type="paragraph" w:styleId="ListContinue2">
    <w:name w:val="List Continue 2"/>
    <w:basedOn w:val="Normal"/>
    <w:uiPriority w:val="99"/>
    <w:unhideWhenUsed/>
    <w:rsid w:val="0029639d"/>
    <w:pPr>
      <w:spacing w:before="0" w:after="120"/>
      <w:ind w:left="720"/>
      <w:contextualSpacing/>
    </w:pPr>
    <w:rPr/>
  </w:style>
  <w:style w:type="paragraph" w:styleId="ListContinue3">
    <w:name w:val="List Continue 3"/>
    <w:basedOn w:val="Normal"/>
    <w:uiPriority w:val="99"/>
    <w:unhideWhenUsed/>
    <w:rsid w:val="0029639d"/>
    <w:pPr>
      <w:spacing w:before="0" w:after="120"/>
      <w:ind w:left="1080"/>
      <w:contextualSpacing/>
    </w:pPr>
    <w:rPr/>
  </w:style>
  <w:style w:type="paragraph" w:styleId="macro">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bidi w:val="0"/>
      <w:spacing w:lineRule="auto" w:line="276" w:before="0" w:after="200"/>
      <w:jc w:val="left"/>
    </w:pPr>
    <w:rPr>
      <w:rFonts w:ascii="Courier" w:hAnsi="Courier" w:eastAsia="ＭＳ 明朝"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outlineLvl w:val="9"/>
    </w:pPr>
    <w:rPr/>
  </w:style>
  <w:style w:type="paragraph" w:styleId="TOC2">
    <w:name w:val="TOC 2"/>
    <w:basedOn w:val="Index"/>
    <w:pPr>
      <w:tabs>
        <w:tab w:val="clear" w:pos="720"/>
        <w:tab w:val="right" w:pos="9463" w:leader="dot"/>
      </w:tabs>
      <w:ind w:hanging="0" w:left="283"/>
    </w:pPr>
    <w:rPr/>
  </w:style>
  <w:style w:type="paragraph" w:styleId="TOC1">
    <w:name w:val="TOC 1"/>
    <w:basedOn w:val="Index"/>
    <w:pPr>
      <w:tabs>
        <w:tab w:val="clear" w:pos="720"/>
        <w:tab w:val="right" w:pos="9746" w:leader="dot"/>
      </w:tabs>
      <w:ind w:hanging="0" w:left="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themeColor="text1" w:themeShade="bf"/>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themeColor="accent1" w:themeShade="bf"/>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themeColor="accent2" w:themeShade="bf"/>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themeColor="accent3" w:themeShade="bf"/>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themeColor="accent4" w:themeShade="bf"/>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themeColor="accent5" w:themeShade="bf"/>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themeColor="accent6" w:themeShade="bf"/>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themeColor="text1"/>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themeColor="text1"/>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themeColor="text1"/>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themeColor="text1"/>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themeColor="text1"/>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themeColor="text1"/>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themeColor="text1"/>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themeColor="text1"/>
      </w:rPr>
      <w:tblPr/>
      <w:tcPr>
        <w:shd w:val="clear" w:color="auto" w:fill="E6E6E6" w:themeFill="tex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themeColor="text1"/>
      </w:rPr>
      <w:tblPr/>
      <w:tcPr>
        <w:shd w:val="clear" w:color="auto" w:fill="EDF2F8" w:themeFill="accen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themeColor="text1"/>
      </w:rPr>
      <w:tblPr/>
      <w:tcPr>
        <w:shd w:val="clear" w:color="auto" w:fill="F8EDED" w:themeFill="accent2"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themeColor="text1"/>
      </w:rPr>
      <w:tblPr/>
      <w:tcPr>
        <w:shd w:val="clear" w:color="auto" w:fill="F5F8EE" w:themeFill="accent3"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themeColor="text1"/>
      </w:rPr>
      <w:tblPr/>
      <w:tcPr>
        <w:shd w:val="clear" w:color="auto" w:fill="F2EFF6" w:themeFill="accent4"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themeColor="text1"/>
      </w:rPr>
      <w:tblPr/>
      <w:tcPr>
        <w:shd w:val="clear" w:color="auto" w:fill="EDF6F9" w:themeFill="accent5"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themeColor="text1"/>
      </w:rPr>
      <w:tblPr/>
      <w:tcPr>
        <w:shd w:val="clear" w:color="auto" w:fill="FEF4EC" w:themeFill="accent6"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000000" w:themeFill="text1" w:themeFillShade="99"/>
      </w:tcPr>
    </w:tblStylePr>
    <w:tblStylePr w:type="firstCol">
      <w:rPr>
        <w:color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themeColor="text1"/>
      </w:rPr>
      <w:tblPr/>
    </w:tblStylePr>
    <w:tblStylePr w:type="nwCell">
      <w:rPr>
        <w:color w:themeColor="text1"/>
      </w:rPr>
      <w:tblPr/>
    </w:tblStylePr>
  </w:style>
  <w:style w:type="table" w:styleId="ColorfulShading-Accent1">
    <w:name w:val="Colorful Shading Accent 1"/>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C4C74" w:themeFill="accent1" w:themeFillShade="99"/>
      </w:tcPr>
    </w:tblStylePr>
    <w:tblStylePr w:type="firstCol">
      <w:rPr>
        <w:color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themeColor="text1"/>
      </w:rPr>
      <w:tblPr/>
    </w:tblStylePr>
    <w:tblStylePr w:type="nwCell">
      <w:rPr>
        <w:color w:themeColor="text1"/>
      </w:rPr>
      <w:tblPr/>
    </w:tblStylePr>
  </w:style>
  <w:style w:type="table" w:styleId="ColorfulShading-Accent2">
    <w:name w:val="Colorful Shading Accent 2"/>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772C2A" w:themeFill="accent2" w:themeFillShade="99"/>
      </w:tcPr>
    </w:tblStylePr>
    <w:tblStylePr w:type="firstCol">
      <w:rPr>
        <w:color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themeColor="text1"/>
      </w:rPr>
      <w:tblPr/>
    </w:tblStylePr>
    <w:tblStylePr w:type="nwCell">
      <w:rPr>
        <w:color w:themeColor="text1"/>
      </w:rPr>
      <w:tblPr/>
    </w:tblStylePr>
  </w:style>
  <w:style w:type="table" w:styleId="ColorfulShading-Accent3">
    <w:name w:val="Colorful Shading Accent 3"/>
    <w:basedOn w:val="TableNormal"/>
    <w:uiPriority w:val="71"/>
    <w:rsid w:val="00cb0664"/>
    <w:pPr>
      <w:spacing w:after="0" w:line="240" w:lineRule="auto"/>
    </w:pPr>
    <w:rPr>
      <w:color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5E7530" w:themeFill="accent3" w:themeFillShade="99"/>
      </w:tcPr>
    </w:tblStylePr>
    <w:tblStylePr w:type="firstCol">
      <w:rPr>
        <w:color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4C3B62" w:themeFill="accent4" w:themeFillShade="99"/>
      </w:tcPr>
    </w:tblStylePr>
    <w:tblStylePr w:type="firstCol">
      <w:rPr>
        <w:color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themeColor="text1"/>
      </w:rPr>
      <w:tblPr/>
    </w:tblStylePr>
    <w:tblStylePr w:type="nwCell">
      <w:rPr>
        <w:color w:themeColor="text1"/>
      </w:rPr>
      <w:tblPr/>
    </w:tblStylePr>
  </w:style>
  <w:style w:type="table" w:styleId="ColorfulShading-Accent5">
    <w:name w:val="Colorful Shading Accent 5"/>
    <w:basedOn w:val="TableNormal"/>
    <w:uiPriority w:val="71"/>
    <w:rsid w:val="00cb0664"/>
    <w:pPr>
      <w:spacing w:after="0" w:line="240" w:lineRule="auto"/>
    </w:pPr>
    <w:rPr>
      <w:color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76A7C" w:themeFill="accent5" w:themeFillShade="99"/>
      </w:tcPr>
    </w:tblStylePr>
    <w:tblStylePr w:type="firstCol">
      <w:rPr>
        <w:color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themeColor="text1"/>
      </w:rPr>
      <w:tblPr/>
    </w:tblStylePr>
    <w:tblStylePr w:type="nwCell">
      <w:rPr>
        <w:color w:themeColor="text1"/>
      </w:rPr>
      <w:tblPr/>
    </w:tblStylePr>
  </w:style>
  <w:style w:type="table" w:styleId="ColorfulShading-Accent6">
    <w:name w:val="Colorful Shading Accent 6"/>
    <w:basedOn w:val="TableNormal"/>
    <w:uiPriority w:val="71"/>
    <w:rsid w:val="00cb0664"/>
    <w:pPr>
      <w:spacing w:after="0" w:line="240" w:lineRule="auto"/>
    </w:pPr>
    <w:rPr>
      <w:color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B65608" w:themeFill="accent6" w:themeFillShade="99"/>
      </w:tcPr>
    </w:tblStylePr>
    <w:tblStylePr w:type="firstCol">
      <w:rPr>
        <w:color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themeColor="text1"/>
      </w:rPr>
      <w:tblPr/>
    </w:tblStylePr>
    <w:tblStylePr w:type="nwCell">
      <w:rPr>
        <w:color w:themeColor="text1"/>
      </w:rPr>
      <w:tblPr/>
    </w:tblStylePr>
  </w:style>
  <w:style w:type="table" w:styleId="ColorfulList">
    <w:name w:val="Colorful List"/>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6E6E6" w:themeFill="tex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2F8" w:themeFill="accen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8EDED" w:themeFill="accent2"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5F8EE" w:themeFill="accent3" w:themeFillTint="19"/>
    </w:tcPr>
    <w:tblStylePr w:type="firstRow">
      <w:rPr>
        <w:b/>
        <w:bCs/>
        <w:color w:themeColor="background1"/>
      </w:rPr>
      <w:tblPr/>
      <w:tcPr>
        <w:tcBorders>
          <w:bottom w:val="single" w:color="FFFFFF" w:themeColor="background1" w:sz="12" w:space="0"/>
        </w:tcBorders>
        <w:shd w:val="clear" w:color="auto" w:fill="664E82" w:themeFill="accent4" w:themeFillShade="cc"/>
      </w:tcPr>
    </w:tblStylePr>
    <w:tblStylePr w:type="lastRow">
      <w:rPr>
        <w:b/>
        <w:bCs/>
        <w:color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2EFF6" w:themeFill="accent4" w:themeFillTint="19"/>
    </w:tcPr>
    <w:tblStylePr w:type="firstRow">
      <w:rPr>
        <w:b/>
        <w:bCs/>
        <w:color w:themeColor="background1"/>
      </w:rPr>
      <w:tblPr/>
      <w:tcPr>
        <w:tcBorders>
          <w:bottom w:val="single" w:color="FFFFFF" w:themeColor="background1" w:sz="12" w:space="0"/>
        </w:tcBorders>
        <w:shd w:val="clear" w:color="auto" w:fill="7E9C40" w:themeFill="accent3" w:themeFillShade="cc"/>
      </w:tcPr>
    </w:tblStylePr>
    <w:tblStylePr w:type="lastRow">
      <w:rPr>
        <w:b/>
        <w:bCs/>
        <w:color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6F9" w:themeFill="accent5" w:themeFillTint="19"/>
    </w:tcPr>
    <w:tblStylePr w:type="firstRow">
      <w:rPr>
        <w:b/>
        <w:bCs/>
        <w:color w:themeColor="background1"/>
      </w:rPr>
      <w:tblPr/>
      <w:tcPr>
        <w:tcBorders>
          <w:bottom w:val="single" w:color="FFFFFF" w:themeColor="background1" w:sz="12" w:space="0"/>
        </w:tcBorders>
        <w:shd w:val="clear" w:color="auto" w:fill="F2730A" w:themeFill="accent6" w:themeFillShade="cc"/>
      </w:tcPr>
    </w:tblStylePr>
    <w:tblStylePr w:type="lastRow">
      <w:rPr>
        <w:b/>
        <w:bCs/>
        <w:color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EF4EC" w:themeFill="accent6" w:themeFillTint="19"/>
    </w:tcPr>
    <w:tblStylePr w:type="firstRow">
      <w:rPr>
        <w:b/>
        <w:bCs/>
        <w:color w:themeColor="background1"/>
      </w:rPr>
      <w:tblPr/>
      <w:tcPr>
        <w:tcBorders>
          <w:bottom w:val="single" w:color="FFFFFF" w:themeColor="background1" w:sz="12" w:space="0"/>
        </w:tcBorders>
        <w:shd w:val="clear" w:color="auto" w:fill="348DA5"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themeColor="text1"/>
      </w:rPr>
      <w:tblPr/>
      <w:tcPr>
        <w:shd w:val="clear" w:color="auto" w:fill="999999" w:themeFill="text1" w:themeFillTint="66"/>
      </w:tcPr>
    </w:tblStylePr>
    <w:tblStylePr w:type="firstCol">
      <w:rPr>
        <w:color w:themeColor="background1"/>
      </w:rPr>
      <w:tblPr/>
      <w:tcPr>
        <w:shd w:val="clear" w:color="auto" w:fill="000000" w:themeFill="text1" w:themeFillShade="bf"/>
      </w:tcPr>
    </w:tblStylePr>
    <w:tblStylePr w:type="lastCol">
      <w:rPr>
        <w:color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themeColor="text1"/>
      </w:rPr>
      <w:tblPr/>
      <w:tcPr>
        <w:shd w:val="clear" w:color="auto" w:fill="B8CCE4" w:themeFill="accent1" w:themeFillTint="66"/>
      </w:tcPr>
    </w:tblStylePr>
    <w:tblStylePr w:type="firstCol">
      <w:rPr>
        <w:color w:themeColor="background1"/>
      </w:rPr>
      <w:tblPr/>
      <w:tcPr>
        <w:shd w:val="clear" w:color="auto" w:fill="365F91" w:themeFill="accent1" w:themeFillShade="bf"/>
      </w:tcPr>
    </w:tblStylePr>
    <w:tblStylePr w:type="lastCol">
      <w:rPr>
        <w:color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themeColor="text1"/>
      </w:rPr>
      <w:tblPr/>
      <w:tcPr>
        <w:shd w:val="clear" w:color="auto" w:fill="E5B8B7" w:themeFill="accent2" w:themeFillTint="66"/>
      </w:tcPr>
    </w:tblStylePr>
    <w:tblStylePr w:type="firstCol">
      <w:rPr>
        <w:color w:themeColor="background1"/>
      </w:rPr>
      <w:tblPr/>
      <w:tcPr>
        <w:shd w:val="clear" w:color="auto" w:fill="943634" w:themeFill="accent2" w:themeFillShade="bf"/>
      </w:tcPr>
    </w:tblStylePr>
    <w:tblStylePr w:type="lastCol">
      <w:rPr>
        <w:color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themeColor="text1"/>
      </w:rPr>
      <w:tblPr/>
      <w:tcPr>
        <w:shd w:val="clear" w:color="auto" w:fill="D6E3BC" w:themeFill="accent3" w:themeFillTint="66"/>
      </w:tcPr>
    </w:tblStylePr>
    <w:tblStylePr w:type="firstCol">
      <w:rPr>
        <w:color w:themeColor="background1"/>
      </w:rPr>
      <w:tblPr/>
      <w:tcPr>
        <w:shd w:val="clear" w:color="auto" w:fill="76923C" w:themeFill="accent3" w:themeFillShade="bf"/>
      </w:tcPr>
    </w:tblStylePr>
    <w:tblStylePr w:type="lastCol">
      <w:rPr>
        <w:color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themeColor="text1"/>
      </w:rPr>
      <w:tblPr/>
      <w:tcPr>
        <w:shd w:val="clear" w:color="auto" w:fill="CCC0D9" w:themeFill="accent4" w:themeFillTint="66"/>
      </w:tcPr>
    </w:tblStylePr>
    <w:tblStylePr w:type="firstCol">
      <w:rPr>
        <w:color w:themeColor="background1"/>
      </w:rPr>
      <w:tblPr/>
      <w:tcPr>
        <w:shd w:val="clear" w:color="auto" w:fill="5F497A" w:themeFill="accent4" w:themeFillShade="bf"/>
      </w:tcPr>
    </w:tblStylePr>
    <w:tblStylePr w:type="lastCol">
      <w:rPr>
        <w:color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themeColor="text1"/>
      </w:rPr>
      <w:tblPr/>
      <w:tcPr>
        <w:shd w:val="clear" w:color="auto" w:fill="B6DDE8" w:themeFill="accent5" w:themeFillTint="66"/>
      </w:tcPr>
    </w:tblStylePr>
    <w:tblStylePr w:type="firstCol">
      <w:rPr>
        <w:color w:themeColor="background1"/>
      </w:rPr>
      <w:tblPr/>
      <w:tcPr>
        <w:shd w:val="clear" w:color="auto" w:fill="31849B" w:themeFill="accent5" w:themeFillShade="bf"/>
      </w:tcPr>
    </w:tblStylePr>
    <w:tblStylePr w:type="lastCol">
      <w:rPr>
        <w:color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themeColor="text1"/>
      </w:rPr>
      <w:tblPr/>
      <w:tcPr>
        <w:shd w:val="clear" w:color="auto" w:fill="FBD4B4" w:themeFill="accent6" w:themeFillTint="66"/>
      </w:tcPr>
    </w:tblStylePr>
    <w:tblStylePr w:type="firstCol">
      <w:rPr>
        <w:color w:themeColor="background1"/>
      </w:rPr>
      <w:tblPr/>
      <w:tcPr>
        <w:shd w:val="clear" w:color="auto" w:fill="E36C0A" w:themeFill="accent6" w:themeFillShade="bf"/>
      </w:tcPr>
    </w:tblStylePr>
    <w:tblStylePr w:type="lastCol">
      <w:rPr>
        <w:color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Pages>1</Pages>
  <Words>0</Words>
  <Characters>0</Characters>
  <CharactersWithSpaces>0</CharactersWithSpaces>
  <Paragraphs>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Hub Engineering Management Consulting</dc:creator>
  <dc:description>generated by python-docx</dc:description>
  <dc:language>en-US</dc:language>
  <cp:lastModifiedBy/>
  <dcterms:modified xsi:type="dcterms:W3CDTF">2026-07-27T11:01:49Z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