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500" w:after="0"/>
        <w:jc w:val="center"/>
        <w:rPr/>
      </w:pPr>
      <w:r>
        <w:rPr/>
        <w:drawing>
          <wp:inline distT="0" distB="0" distL="0" distR="0">
            <wp:extent cx="914400" cy="914400"/>
            <wp:effectExtent l="0" t="0" r="0" b="0"/>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tretch>
                      <a:fillRect/>
                    </a:stretch>
                  </pic:blipFill>
                  <pic:spPr bwMode="auto">
                    <a:xfrm>
                      <a:off x="0" y="0"/>
                      <a:ext cx="914400" cy="914400"/>
                    </a:xfrm>
                    <a:prstGeom prst="rect">
                      <a:avLst/>
                    </a:prstGeom>
                  </pic:spPr>
                </pic:pic>
              </a:graphicData>
            </a:graphic>
          </wp:inline>
        </w:drawing>
      </w:r>
    </w:p>
    <w:p>
      <w:pPr>
        <w:pStyle w:val="Normal"/>
        <w:spacing w:before="0" w:after="40"/>
        <w:jc w:val="center"/>
        <w:rPr/>
      </w:pPr>
      <w:r>
        <w:rPr>
          <w:rFonts w:eastAsia="Arial" w:cs="Arial"/>
          <w:b/>
          <w:bCs/>
          <w:color w:val="1F4E79"/>
          <w:sz w:val="24"/>
          <w:szCs w:val="24"/>
        </w:rPr>
        <w:t>[Nom organisation]</w:t>
      </w:r>
    </w:p>
    <w:p>
      <w:pPr>
        <w:pStyle w:val="Normal"/>
        <w:spacing w:before="0" w:after="360"/>
        <w:jc w:val="center"/>
        <w:rPr/>
      </w:pPr>
      <w:r>
        <w:rPr>
          <w:rFonts w:eastAsia="Arial" w:cs="Arial"/>
          <w:i/>
          <w:iCs/>
          <w:color w:val="2E75B6"/>
          <w:sz w:val="18"/>
          <w:szCs w:val="18"/>
        </w:rPr>
        <w:t>Système de Management de la Santé et de la Sécurité au Travail — ISO 45001:2018</w:t>
      </w:r>
    </w:p>
    <w:p>
      <w:pPr>
        <w:pStyle w:val="Normal"/>
        <w:shd w:val="clear" w:fill="1F4E79"/>
        <w:spacing w:before="200" w:after="0"/>
        <w:jc w:val="center"/>
        <w:rPr/>
      </w:pPr>
      <w:r>
        <w:rPr>
          <w:rFonts w:eastAsia="Arial" w:cs="Arial"/>
          <w:b/>
          <w:bCs/>
          <w:color w:val="FFFFFF"/>
          <w:sz w:val="20"/>
          <w:szCs w:val="20"/>
        </w:rPr>
        <w:br/>
        <w:t xml:space="preserve"> GUIDE </w:t>
      </w:r>
      <w:r>
        <w:rPr/>
        <w:br/>
      </w:r>
    </w:p>
    <w:p>
      <w:pPr>
        <w:pStyle w:val="Normal"/>
        <w:shd w:val="clear" w:fill="1F4E79"/>
        <w:spacing w:before="0" w:after="40"/>
        <w:jc w:val="center"/>
        <w:rPr/>
      </w:pPr>
      <w:r>
        <w:rPr>
          <w:rFonts w:eastAsia="Arial" w:cs="Arial"/>
          <w:b/>
          <w:bCs/>
          <w:color w:val="FFFFFF"/>
          <w:sz w:val="34"/>
          <w:szCs w:val="34"/>
        </w:rPr>
        <w:t>Guide d'utilisation du système SMSST</w:t>
      </w:r>
      <w:r>
        <w:rPr/>
        <w:br/>
      </w:r>
    </w:p>
    <w:p>
      <w:pPr>
        <w:pStyle w:val="Normal"/>
        <w:spacing w:before="160" w:after="400"/>
        <w:jc w:val="center"/>
        <w:rPr/>
      </w:pPr>
      <w:r>
        <w:rPr>
          <w:rFonts w:eastAsia="Arial" w:cs="Arial"/>
          <w:color w:val="595959"/>
          <w:sz w:val="20"/>
          <w:szCs w:val="20"/>
        </w:rPr>
        <w:t>Prise en main du système documentaire ISO 45001:2018</w:t>
      </w:r>
    </w:p>
    <w:p>
      <w:pPr>
        <w:pStyle w:val="Normal"/>
        <w:spacing w:before="200" w:after="20"/>
        <w:jc w:val="center"/>
        <w:rPr/>
      </w:pPr>
      <w:r>
        <w:rPr>
          <w:rFonts w:eastAsia="Arial" w:cs="Arial"/>
          <w:b/>
          <w:bCs/>
          <w:color w:val="1F4E79"/>
          <w:sz w:val="20"/>
          <w:szCs w:val="20"/>
        </w:rPr>
        <w:t>Organisme :</w:t>
      </w:r>
    </w:p>
    <w:p>
      <w:pPr>
        <w:pStyle w:val="Normal"/>
        <w:pBdr>
          <w:top w:val="dashed" w:sz="4" w:space="0" w:color="2E75B6"/>
          <w:left w:val="dashed" w:sz="4" w:space="0" w:color="2E75B6"/>
          <w:bottom w:val="dashed" w:sz="4" w:space="0" w:color="2E75B6"/>
          <w:right w:val="dashed" w:sz="4" w:space="0" w:color="2E75B6"/>
        </w:pBdr>
        <w:spacing w:before="0" w:after="10"/>
        <w:jc w:val="center"/>
        <w:rPr/>
      </w:pPr>
      <w:r>
        <w:rPr>
          <w:rFonts w:eastAsia="Arial" w:cs="Arial"/>
          <w:b/>
          <w:bCs/>
          <w:color w:val="2E75B6"/>
          <w:sz w:val="20"/>
          <w:szCs w:val="20"/>
        </w:rPr>
        <w:t xml:space="preserve">  </w:t>
      </w:r>
      <w:r>
        <w:rPr>
          <w:rFonts w:eastAsia="Arial" w:cs="Arial"/>
          <w:b/>
          <w:bCs/>
          <w:color w:val="2E75B6"/>
          <w:sz w:val="20"/>
          <w:szCs w:val="20"/>
        </w:rPr>
        <w:t xml:space="preserve">[LOGO CLIENT]        [NOM DE L'ORGANISME]  </w:t>
      </w:r>
    </w:p>
    <w:p>
      <w:pPr>
        <w:pStyle w:val="Normal"/>
        <w:spacing w:before="500" w:after="0"/>
        <w:jc w:val="center"/>
        <w:rPr/>
      </w:pPr>
      <w:r>
        <w:rPr>
          <w:rFonts w:eastAsia="Arial" w:cs="Arial"/>
          <w:color w:val="595959"/>
          <w:sz w:val="18"/>
          <w:szCs w:val="18"/>
        </w:rPr>
        <w:t>GUI-SST-001   ·   Version 1.0   ·   Juillet 2026</w:t>
      </w:r>
    </w:p>
    <w:p>
      <w:pPr>
        <w:pStyle w:val="Normal"/>
        <w:rPr/>
      </w:pPr>
      <w:r>
        <w:rPr/>
      </w:r>
    </w:p>
    <w:p>
      <w:pPr>
        <w:pStyle w:val="Normal"/>
        <w:rPr/>
      </w:pPr>
      <w:r>
        <w:rPr/>
      </w:r>
      <w:r>
        <w:br w:type="page"/>
      </w:r>
    </w:p>
    <w:p>
      <w:pPr>
        <w:pStyle w:val="Normal"/>
        <w:pBdr>
          <w:bottom w:val="single" w:sz="12" w:space="4" w:color="4F9B3E"/>
        </w:pBdr>
        <w:spacing w:before="0" w:after="140"/>
        <w:rPr/>
      </w:pPr>
      <w:r>
        <w:rPr>
          <w:rFonts w:eastAsia="Arial" w:cs="Arial"/>
          <w:b/>
          <w:bCs/>
          <w:color w:val="1F4E79"/>
          <w:sz w:val="28"/>
          <w:szCs w:val="28"/>
        </w:rPr>
        <w:t>Contrôle documentaire</w:t>
      </w:r>
    </w:p>
    <w:p>
      <w:pPr>
        <w:pStyle w:val="Normal"/>
        <w:spacing w:before="180" w:after="90"/>
        <w:rPr/>
      </w:pPr>
      <w:r>
        <w:rPr>
          <w:rFonts w:eastAsia="Arial" w:cs="Arial"/>
          <w:b/>
          <w:bCs/>
          <w:color w:val="2E75B6"/>
          <w:sz w:val="23"/>
          <w:szCs w:val="23"/>
        </w:rPr>
        <w:t>Cartouche</w:t>
      </w:r>
    </w:p>
    <w:tbl>
      <w:tblPr>
        <w:tblW w:w="9026" w:type="dxa"/>
        <w:jc w:val="left"/>
        <w:tblInd w:w="0" w:type="dxa"/>
        <w:tblLayout w:type="fixed"/>
        <w:tblCellMar>
          <w:top w:w="60" w:type="dxa"/>
          <w:left w:w="100" w:type="dxa"/>
          <w:bottom w:w="60" w:type="dxa"/>
          <w:right w:w="100" w:type="dxa"/>
        </w:tblCellMar>
      </w:tblPr>
      <w:tblGrid>
        <w:gridCol w:w="2100"/>
        <w:gridCol w:w="900"/>
        <w:gridCol w:w="1150"/>
        <w:gridCol w:w="1651"/>
        <w:gridCol w:w="1612"/>
        <w:gridCol w:w="1612"/>
      </w:tblGrid>
      <w:tr>
        <w:trPr>
          <w:tblHeader w:val="true"/>
        </w:trPr>
        <w:tc>
          <w:tcPr>
            <w:tcW w:w="2100" w:type="dxa"/>
            <w:tcBorders>
              <w:top w:val="single" w:sz="2" w:space="0" w:color="BFBFBF"/>
              <w:left w:val="single" w:sz="2" w:space="0" w:color="BFBFBF"/>
              <w:bottom w:val="single" w:sz="2" w:space="0" w:color="D9D9D9"/>
              <w:right w:val="single" w:sz="2" w:space="0" w:color="D9D9D9"/>
            </w:tcBorders>
            <w:shd w:fill="1F4E79" w:val="clear"/>
            <w:vAlign w:val="center"/>
          </w:tcPr>
          <w:p>
            <w:pPr>
              <w:pStyle w:val="Normal"/>
              <w:spacing w:lineRule="exact" w:line="252" w:before="0" w:after="0"/>
              <w:jc w:val="left"/>
              <w:rPr/>
            </w:pPr>
            <w:r>
              <w:rPr>
                <w:rFonts w:eastAsia="Arial" w:cs="Arial"/>
                <w:b/>
                <w:bCs/>
                <w:color w:val="FFFFFF"/>
                <w:sz w:val="19"/>
                <w:szCs w:val="19"/>
              </w:rPr>
              <w:t>Code</w:t>
            </w:r>
          </w:p>
        </w:tc>
        <w:tc>
          <w:tcPr>
            <w:tcW w:w="900" w:type="dxa"/>
            <w:tcBorders>
              <w:top w:val="single" w:sz="2" w:space="0" w:color="BFBFBF"/>
              <w:left w:val="single" w:sz="2" w:space="0" w:color="D9D9D9"/>
              <w:bottom w:val="single" w:sz="2" w:space="0" w:color="D9D9D9"/>
              <w:right w:val="single" w:sz="2" w:space="0" w:color="D9D9D9"/>
            </w:tcBorders>
            <w:shd w:fill="1F4E79" w:val="clear"/>
            <w:vAlign w:val="center"/>
          </w:tcPr>
          <w:p>
            <w:pPr>
              <w:pStyle w:val="Normal"/>
              <w:spacing w:lineRule="exact" w:line="252" w:before="0" w:after="0"/>
              <w:jc w:val="left"/>
              <w:rPr/>
            </w:pPr>
            <w:r>
              <w:rPr>
                <w:rFonts w:eastAsia="Arial" w:cs="Arial"/>
                <w:b/>
                <w:bCs/>
                <w:color w:val="FFFFFF"/>
                <w:sz w:val="19"/>
                <w:szCs w:val="19"/>
              </w:rPr>
              <w:t>Version</w:t>
            </w:r>
          </w:p>
        </w:tc>
        <w:tc>
          <w:tcPr>
            <w:tcW w:w="1150" w:type="dxa"/>
            <w:tcBorders>
              <w:top w:val="single" w:sz="2" w:space="0" w:color="BFBFBF"/>
              <w:left w:val="single" w:sz="2" w:space="0" w:color="D9D9D9"/>
              <w:bottom w:val="single" w:sz="2" w:space="0" w:color="D9D9D9"/>
              <w:right w:val="single" w:sz="2" w:space="0" w:color="D9D9D9"/>
            </w:tcBorders>
            <w:shd w:fill="1F4E79" w:val="clear"/>
            <w:vAlign w:val="center"/>
          </w:tcPr>
          <w:p>
            <w:pPr>
              <w:pStyle w:val="Normal"/>
              <w:spacing w:lineRule="exact" w:line="252" w:before="0" w:after="0"/>
              <w:jc w:val="left"/>
              <w:rPr/>
            </w:pPr>
            <w:r>
              <w:rPr>
                <w:rFonts w:eastAsia="Arial" w:cs="Arial"/>
                <w:b/>
                <w:bCs/>
                <w:color w:val="FFFFFF"/>
                <w:sz w:val="19"/>
                <w:szCs w:val="19"/>
              </w:rPr>
              <w:t>Date</w:t>
            </w:r>
          </w:p>
        </w:tc>
        <w:tc>
          <w:tcPr>
            <w:tcW w:w="1651" w:type="dxa"/>
            <w:tcBorders>
              <w:top w:val="single" w:sz="2" w:space="0" w:color="BFBFBF"/>
              <w:left w:val="single" w:sz="2" w:space="0" w:color="D9D9D9"/>
              <w:bottom w:val="single" w:sz="2" w:space="0" w:color="D9D9D9"/>
              <w:right w:val="single" w:sz="2" w:space="0" w:color="D9D9D9"/>
            </w:tcBorders>
            <w:shd w:fill="1F4E79" w:val="clear"/>
            <w:vAlign w:val="center"/>
          </w:tcPr>
          <w:p>
            <w:pPr>
              <w:pStyle w:val="Normal"/>
              <w:spacing w:lineRule="exact" w:line="252" w:before="0" w:after="0"/>
              <w:jc w:val="left"/>
              <w:rPr/>
            </w:pPr>
            <w:r>
              <w:rPr>
                <w:rFonts w:eastAsia="Arial" w:cs="Arial"/>
                <w:b/>
                <w:bCs/>
                <w:color w:val="FFFFFF"/>
                <w:sz w:val="19"/>
                <w:szCs w:val="19"/>
              </w:rPr>
              <w:t>Créateur</w:t>
            </w:r>
          </w:p>
        </w:tc>
        <w:tc>
          <w:tcPr>
            <w:tcW w:w="1612" w:type="dxa"/>
            <w:tcBorders>
              <w:top w:val="single" w:sz="2" w:space="0" w:color="BFBFBF"/>
              <w:left w:val="single" w:sz="2" w:space="0" w:color="D9D9D9"/>
              <w:bottom w:val="single" w:sz="2" w:space="0" w:color="D9D9D9"/>
              <w:right w:val="single" w:sz="2" w:space="0" w:color="D9D9D9"/>
            </w:tcBorders>
            <w:shd w:fill="1F4E79" w:val="clear"/>
            <w:vAlign w:val="center"/>
          </w:tcPr>
          <w:p>
            <w:pPr>
              <w:pStyle w:val="Normal"/>
              <w:spacing w:lineRule="exact" w:line="252" w:before="0" w:after="0"/>
              <w:jc w:val="left"/>
              <w:rPr/>
            </w:pPr>
            <w:r>
              <w:rPr>
                <w:rFonts w:eastAsia="Arial" w:cs="Arial"/>
                <w:b/>
                <w:bCs/>
                <w:color w:val="FFFFFF"/>
                <w:sz w:val="19"/>
                <w:szCs w:val="19"/>
              </w:rPr>
              <w:t>Vérificateur</w:t>
            </w:r>
          </w:p>
        </w:tc>
        <w:tc>
          <w:tcPr>
            <w:tcW w:w="1612" w:type="dxa"/>
            <w:tcBorders>
              <w:top w:val="single" w:sz="2" w:space="0" w:color="BFBFBF"/>
              <w:left w:val="single" w:sz="2" w:space="0" w:color="D9D9D9"/>
              <w:bottom w:val="single" w:sz="2" w:space="0" w:color="D9D9D9"/>
              <w:right w:val="single" w:sz="2" w:space="0" w:color="BFBFBF"/>
            </w:tcBorders>
            <w:shd w:fill="1F4E79" w:val="clear"/>
            <w:vAlign w:val="center"/>
          </w:tcPr>
          <w:p>
            <w:pPr>
              <w:pStyle w:val="Normal"/>
              <w:spacing w:lineRule="exact" w:line="252" w:before="0" w:after="0"/>
              <w:jc w:val="left"/>
              <w:rPr/>
            </w:pPr>
            <w:r>
              <w:rPr>
                <w:rFonts w:eastAsia="Arial" w:cs="Arial"/>
                <w:b/>
                <w:bCs/>
                <w:color w:val="FFFFFF"/>
                <w:sz w:val="19"/>
                <w:szCs w:val="19"/>
              </w:rPr>
              <w:t>Approbateur</w:t>
            </w:r>
          </w:p>
        </w:tc>
      </w:tr>
      <w:tr>
        <w:trPr/>
        <w:tc>
          <w:tcPr>
            <w:tcW w:w="2100" w:type="dxa"/>
            <w:tcBorders>
              <w:top w:val="single" w:sz="2" w:space="0" w:color="D9D9D9"/>
              <w:left w:val="single" w:sz="2" w:space="0" w:color="BFBFBF"/>
              <w:bottom w:val="single" w:sz="2" w:space="0" w:color="BFBFBF"/>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GUI-SST-001</w:t>
            </w:r>
          </w:p>
        </w:tc>
        <w:tc>
          <w:tcPr>
            <w:tcW w:w="900" w:type="dxa"/>
            <w:tcBorders>
              <w:top w:val="single" w:sz="2" w:space="0" w:color="D9D9D9"/>
              <w:left w:val="single" w:sz="2" w:space="0" w:color="D9D9D9"/>
              <w:bottom w:val="single" w:sz="2" w:space="0" w:color="BFBFBF"/>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1.0</w:t>
            </w:r>
          </w:p>
        </w:tc>
        <w:tc>
          <w:tcPr>
            <w:tcW w:w="1150" w:type="dxa"/>
            <w:tcBorders>
              <w:top w:val="single" w:sz="2" w:space="0" w:color="D9D9D9"/>
              <w:left w:val="single" w:sz="2" w:space="0" w:color="D9D9D9"/>
              <w:bottom w:val="single" w:sz="2" w:space="0" w:color="BFBFBF"/>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Juillet 2026</w:t>
            </w:r>
          </w:p>
        </w:tc>
        <w:tc>
          <w:tcPr>
            <w:tcW w:w="1651" w:type="dxa"/>
            <w:tcBorders>
              <w:top w:val="single" w:sz="2" w:space="0" w:color="D9D9D9"/>
              <w:left w:val="single" w:sz="2" w:space="0" w:color="D9D9D9"/>
              <w:bottom w:val="single" w:sz="2" w:space="0" w:color="BFBFBF"/>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[Nom organisation]</w:t>
            </w:r>
          </w:p>
        </w:tc>
        <w:tc>
          <w:tcPr>
            <w:tcW w:w="1612" w:type="dxa"/>
            <w:tcBorders>
              <w:top w:val="single" w:sz="2" w:space="0" w:color="D9D9D9"/>
              <w:left w:val="single" w:sz="2" w:space="0" w:color="D9D9D9"/>
              <w:bottom w:val="single" w:sz="2" w:space="0" w:color="BFBFBF"/>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[À COMPLÉTER]</w:t>
            </w:r>
          </w:p>
        </w:tc>
        <w:tc>
          <w:tcPr>
            <w:tcW w:w="1612" w:type="dxa"/>
            <w:tcBorders>
              <w:top w:val="single" w:sz="2" w:space="0" w:color="D9D9D9"/>
              <w:left w:val="single" w:sz="2" w:space="0" w:color="D9D9D9"/>
              <w:bottom w:val="single" w:sz="2" w:space="0" w:color="BFBFBF"/>
              <w:right w:val="single" w:sz="2" w:space="0" w:color="BFBFBF"/>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[À COMPLÉTER]</w:t>
            </w:r>
          </w:p>
        </w:tc>
      </w:tr>
    </w:tbl>
    <w:p>
      <w:pPr>
        <w:pStyle w:val="Normal"/>
        <w:spacing w:before="0" w:after="120"/>
        <w:rPr/>
      </w:pPr>
      <w:r>
        <w:rPr/>
      </w:r>
    </w:p>
    <w:p>
      <w:pPr>
        <w:pStyle w:val="Normal"/>
        <w:spacing w:before="180" w:after="90"/>
        <w:rPr/>
      </w:pPr>
      <w:r>
        <w:rPr>
          <w:rFonts w:eastAsia="Arial" w:cs="Arial"/>
          <w:b/>
          <w:bCs/>
          <w:color w:val="2E75B6"/>
          <w:sz w:val="23"/>
          <w:szCs w:val="23"/>
        </w:rPr>
        <w:t>Historique des révisions</w:t>
      </w:r>
    </w:p>
    <w:tbl>
      <w:tblPr>
        <w:tblW w:w="9026" w:type="dxa"/>
        <w:jc w:val="left"/>
        <w:tblInd w:w="0" w:type="dxa"/>
        <w:tblLayout w:type="fixed"/>
        <w:tblCellMar>
          <w:top w:w="60" w:type="dxa"/>
          <w:left w:w="100" w:type="dxa"/>
          <w:bottom w:w="60" w:type="dxa"/>
          <w:right w:w="100" w:type="dxa"/>
        </w:tblCellMar>
      </w:tblPr>
      <w:tblGrid>
        <w:gridCol w:w="1199"/>
        <w:gridCol w:w="1500"/>
        <w:gridCol w:w="4726"/>
        <w:gridCol w:w="1600"/>
      </w:tblGrid>
      <w:tr>
        <w:trPr>
          <w:tblHeader w:val="true"/>
        </w:trPr>
        <w:tc>
          <w:tcPr>
            <w:tcW w:w="1199" w:type="dxa"/>
            <w:tcBorders>
              <w:top w:val="single" w:sz="2" w:space="0" w:color="BFBFBF"/>
              <w:left w:val="single" w:sz="2" w:space="0" w:color="BFBFBF"/>
              <w:bottom w:val="single" w:sz="2" w:space="0" w:color="D9D9D9"/>
              <w:right w:val="single" w:sz="2" w:space="0" w:color="D9D9D9"/>
            </w:tcBorders>
            <w:shd w:fill="1F4E79" w:val="clear"/>
            <w:vAlign w:val="center"/>
          </w:tcPr>
          <w:p>
            <w:pPr>
              <w:pStyle w:val="Normal"/>
              <w:spacing w:lineRule="exact" w:line="252" w:before="0" w:after="0"/>
              <w:jc w:val="left"/>
              <w:rPr/>
            </w:pPr>
            <w:r>
              <w:rPr>
                <w:rFonts w:eastAsia="Arial" w:cs="Arial"/>
                <w:b/>
                <w:bCs/>
                <w:color w:val="FFFFFF"/>
                <w:sz w:val="19"/>
                <w:szCs w:val="19"/>
              </w:rPr>
              <w:t>Version</w:t>
            </w:r>
          </w:p>
        </w:tc>
        <w:tc>
          <w:tcPr>
            <w:tcW w:w="1500" w:type="dxa"/>
            <w:tcBorders>
              <w:top w:val="single" w:sz="2" w:space="0" w:color="BFBFBF"/>
              <w:left w:val="single" w:sz="2" w:space="0" w:color="D9D9D9"/>
              <w:bottom w:val="single" w:sz="2" w:space="0" w:color="D9D9D9"/>
              <w:right w:val="single" w:sz="2" w:space="0" w:color="D9D9D9"/>
            </w:tcBorders>
            <w:shd w:fill="1F4E79" w:val="clear"/>
            <w:vAlign w:val="center"/>
          </w:tcPr>
          <w:p>
            <w:pPr>
              <w:pStyle w:val="Normal"/>
              <w:spacing w:lineRule="exact" w:line="252" w:before="0" w:after="0"/>
              <w:jc w:val="left"/>
              <w:rPr/>
            </w:pPr>
            <w:r>
              <w:rPr>
                <w:rFonts w:eastAsia="Arial" w:cs="Arial"/>
                <w:b/>
                <w:bCs/>
                <w:color w:val="FFFFFF"/>
                <w:sz w:val="19"/>
                <w:szCs w:val="19"/>
              </w:rPr>
              <w:t>Date</w:t>
            </w:r>
          </w:p>
        </w:tc>
        <w:tc>
          <w:tcPr>
            <w:tcW w:w="4726" w:type="dxa"/>
            <w:tcBorders>
              <w:top w:val="single" w:sz="2" w:space="0" w:color="BFBFBF"/>
              <w:left w:val="single" w:sz="2" w:space="0" w:color="D9D9D9"/>
              <w:bottom w:val="single" w:sz="2" w:space="0" w:color="D9D9D9"/>
              <w:right w:val="single" w:sz="2" w:space="0" w:color="D9D9D9"/>
            </w:tcBorders>
            <w:shd w:fill="1F4E79" w:val="clear"/>
            <w:vAlign w:val="center"/>
          </w:tcPr>
          <w:p>
            <w:pPr>
              <w:pStyle w:val="Normal"/>
              <w:spacing w:lineRule="exact" w:line="252" w:before="0" w:after="0"/>
              <w:jc w:val="left"/>
              <w:rPr/>
            </w:pPr>
            <w:r>
              <w:rPr>
                <w:rFonts w:eastAsia="Arial" w:cs="Arial"/>
                <w:b/>
                <w:bCs/>
                <w:color w:val="FFFFFF"/>
                <w:sz w:val="19"/>
                <w:szCs w:val="19"/>
              </w:rPr>
              <w:t>Nature de la modification</w:t>
            </w:r>
          </w:p>
        </w:tc>
        <w:tc>
          <w:tcPr>
            <w:tcW w:w="1600" w:type="dxa"/>
            <w:tcBorders>
              <w:top w:val="single" w:sz="2" w:space="0" w:color="BFBFBF"/>
              <w:left w:val="single" w:sz="2" w:space="0" w:color="D9D9D9"/>
              <w:bottom w:val="single" w:sz="2" w:space="0" w:color="D9D9D9"/>
              <w:right w:val="single" w:sz="2" w:space="0" w:color="BFBFBF"/>
            </w:tcBorders>
            <w:shd w:fill="1F4E79" w:val="clear"/>
            <w:vAlign w:val="center"/>
          </w:tcPr>
          <w:p>
            <w:pPr>
              <w:pStyle w:val="Normal"/>
              <w:spacing w:lineRule="exact" w:line="252" w:before="0" w:after="0"/>
              <w:jc w:val="left"/>
              <w:rPr/>
            </w:pPr>
            <w:r>
              <w:rPr>
                <w:rFonts w:eastAsia="Arial" w:cs="Arial"/>
                <w:b/>
                <w:bCs/>
                <w:color w:val="FFFFFF"/>
                <w:sz w:val="19"/>
                <w:szCs w:val="19"/>
              </w:rPr>
              <w:t>Auteur</w:t>
            </w:r>
          </w:p>
        </w:tc>
      </w:tr>
      <w:tr>
        <w:trPr/>
        <w:tc>
          <w:tcPr>
            <w:tcW w:w="1199" w:type="dxa"/>
            <w:tcBorders>
              <w:top w:val="single" w:sz="2" w:space="0" w:color="D9D9D9"/>
              <w:left w:val="single" w:sz="2" w:space="0" w:color="BFBFBF"/>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1.0</w:t>
            </w:r>
          </w:p>
        </w:tc>
        <w:tc>
          <w:tcPr>
            <w:tcW w:w="1500" w:type="dxa"/>
            <w:tcBorders>
              <w:top w:val="single" w:sz="2" w:space="0" w:color="D9D9D9"/>
              <w:left w:val="single" w:sz="2" w:space="0" w:color="D9D9D9"/>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Juillet 2026</w:t>
            </w:r>
          </w:p>
        </w:tc>
        <w:tc>
          <w:tcPr>
            <w:tcW w:w="4726" w:type="dxa"/>
            <w:tcBorders>
              <w:top w:val="single" w:sz="2" w:space="0" w:color="D9D9D9"/>
              <w:left w:val="single" w:sz="2" w:space="0" w:color="D9D9D9"/>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Création du document.</w:t>
            </w:r>
          </w:p>
        </w:tc>
        <w:tc>
          <w:tcPr>
            <w:tcW w:w="1600" w:type="dxa"/>
            <w:tcBorders>
              <w:top w:val="single" w:sz="2" w:space="0" w:color="D9D9D9"/>
              <w:left w:val="single" w:sz="2" w:space="0" w:color="D9D9D9"/>
              <w:bottom w:val="single" w:sz="2" w:space="0" w:color="D9D9D9"/>
              <w:right w:val="single" w:sz="2" w:space="0" w:color="BFBFBF"/>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[Nom organisation]</w:t>
            </w:r>
          </w:p>
        </w:tc>
      </w:tr>
      <w:tr>
        <w:trPr/>
        <w:tc>
          <w:tcPr>
            <w:tcW w:w="1199" w:type="dxa"/>
            <w:tcBorders>
              <w:top w:val="single" w:sz="2" w:space="0" w:color="D9D9D9"/>
              <w:left w:val="single" w:sz="2" w:space="0" w:color="BFBFBF"/>
              <w:bottom w:val="single" w:sz="2" w:space="0" w:color="BFBFBF"/>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w:t>
            </w:r>
          </w:p>
        </w:tc>
        <w:tc>
          <w:tcPr>
            <w:tcW w:w="1500" w:type="dxa"/>
            <w:tcBorders>
              <w:top w:val="single" w:sz="2" w:space="0" w:color="D9D9D9"/>
              <w:left w:val="single" w:sz="2" w:space="0" w:color="D9D9D9"/>
              <w:bottom w:val="single" w:sz="2" w:space="0" w:color="BFBFBF"/>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__/__/____</w:t>
            </w:r>
          </w:p>
        </w:tc>
        <w:tc>
          <w:tcPr>
            <w:tcW w:w="4726" w:type="dxa"/>
            <w:tcBorders>
              <w:top w:val="single" w:sz="2" w:space="0" w:color="D9D9D9"/>
              <w:left w:val="single" w:sz="2" w:space="0" w:color="D9D9D9"/>
              <w:bottom w:val="single" w:sz="2" w:space="0" w:color="BFBFBF"/>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[À COMPLÉTER : nature de la révision]</w:t>
            </w:r>
          </w:p>
        </w:tc>
        <w:tc>
          <w:tcPr>
            <w:tcW w:w="1600" w:type="dxa"/>
            <w:tcBorders>
              <w:top w:val="single" w:sz="2" w:space="0" w:color="D9D9D9"/>
              <w:left w:val="single" w:sz="2" w:space="0" w:color="D9D9D9"/>
              <w:bottom w:val="single" w:sz="2" w:space="0" w:color="BFBFBF"/>
              <w:right w:val="single" w:sz="2" w:space="0" w:color="BFBFBF"/>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w:t>
            </w:r>
          </w:p>
        </w:tc>
      </w:tr>
    </w:tbl>
    <w:p>
      <w:pPr>
        <w:pStyle w:val="Normal"/>
        <w:spacing w:before="0" w:after="120"/>
        <w:rPr/>
      </w:pPr>
      <w:r>
        <w:rPr/>
      </w:r>
    </w:p>
    <w:p>
      <w:pPr>
        <w:pStyle w:val="Normal"/>
        <w:spacing w:before="180" w:after="90"/>
        <w:rPr/>
      </w:pPr>
      <w:r>
        <w:rPr>
          <w:rFonts w:eastAsia="Arial" w:cs="Arial"/>
          <w:b/>
          <w:bCs/>
          <w:color w:val="2E75B6"/>
          <w:sz w:val="23"/>
          <w:szCs w:val="23"/>
        </w:rPr>
        <w:t>Objet du document</w:t>
      </w:r>
    </w:p>
    <w:p>
      <w:pPr>
        <w:pStyle w:val="Normal"/>
        <w:spacing w:lineRule="exact" w:line="276" w:before="0" w:after="120"/>
        <w:jc w:val="both"/>
        <w:rPr/>
      </w:pPr>
      <w:r>
        <w:rPr>
          <w:rFonts w:eastAsia="Arial" w:cs="Arial"/>
          <w:b w:val="false"/>
          <w:bCs w:val="false"/>
          <w:i w:val="false"/>
          <w:iCs w:val="false"/>
          <w:color w:val="222222"/>
          <w:sz w:val="20"/>
          <w:szCs w:val="20"/>
        </w:rPr>
        <w:t>Ce guide présente le contenu, la logique et la mise en œuvre du système documentaire SMSST [Nom organisation] conforme à l'ISO 45001:2018. Il s'adresse au responsable SST de l'organisme acheteur et à toute personne chargée de déployer le système. Il ne contient aucune exigence propre à une législation nationale : le système est international par conception, les obligations locales étant laissées en zones à compléter.</w:t>
      </w:r>
    </w:p>
    <w:p>
      <w:pPr>
        <w:pStyle w:val="Normal"/>
        <w:rPr/>
      </w:pPr>
      <w:r>
        <w:rPr/>
      </w:r>
      <w:r>
        <w:br w:type="page"/>
      </w:r>
    </w:p>
    <w:p>
      <w:pPr>
        <w:pStyle w:val="Normal"/>
        <w:pBdr>
          <w:bottom w:val="single" w:sz="12" w:space="4" w:color="4F9B3E"/>
        </w:pBdr>
        <w:spacing w:before="0" w:after="140"/>
        <w:rPr/>
      </w:pPr>
      <w:r>
        <w:rPr>
          <w:rFonts w:eastAsia="Arial" w:cs="Arial"/>
          <w:b/>
          <w:bCs/>
          <w:color w:val="1F4E79"/>
          <w:sz w:val="28"/>
          <w:szCs w:val="28"/>
        </w:rPr>
        <w:t>Sommaire</w:t>
      </w:r>
    </w:p>
    <w:p>
      <w:pPr>
        <w:pStyle w:val="Normal"/>
        <w:spacing w:before="0" w:after="60"/>
        <w:rPr/>
      </w:pPr>
      <w:r>
        <w:rPr>
          <w:rFonts w:eastAsia="Arial" w:cs="Arial"/>
          <w:i/>
          <w:iCs/>
          <w:color w:val="595959"/>
          <w:sz w:val="17"/>
          <w:szCs w:val="17"/>
        </w:rPr>
        <w:t>Sommaire automatique, déjà à jour. Après ajout ou suppression de sections, actualisez-le : clic droit ▸ « Mettre à jour les champs », ou Ctrl+A puis F9.</w:t>
      </w:r>
    </w:p>
    <w:sdt>
      <w:sdtPr>
        <w:docPartObj>
          <w:docPartGallery w:val="Table of Contents"/>
          <w:docPartUnique w:val="true"/>
        </w:docPartObj>
      </w:sdtPr>
      <w:sdtContent>
        <w:p>
          <w:pPr>
            <w:pStyle w:val="TOCHeading"/>
            <w:rPr/>
          </w:pPr>
          <w:r>
            <w:rPr/>
          </w:r>
        </w:p>
        <w:p>
          <w:pPr>
            <w:pStyle w:val="BodyText"/>
            <w:spacing w:lineRule="auto" w:line="276" w:before="0" w:after="140"/>
            <w:rPr/>
          </w:pPr>
          <w:r>
            <w:fldChar w:fldCharType="begin"/>
          </w:r>
          <w:r>
            <w:rPr/>
            <w:instrText xml:space="preserve"> TOC \z \o "1-3" \u \h</w:instrText>
          </w:r>
          <w:r>
            <w:rPr/>
            <w:fldChar w:fldCharType="separate"/>
          </w:r>
          <w:r>
            <w:rPr/>
          </w:r>
          <w:r>
            <w:rPr/>
            <w:fldChar w:fldCharType="end"/>
          </w:r>
        </w:p>
      </w:sdtContent>
    </w:sdt>
    <w:p>
      <w:pPr>
        <w:pStyle w:val="BodyText"/>
        <w:spacing w:lineRule="auto" w:line="276" w:before="0" w:after="140"/>
        <w:rPr/>
      </w:pPr>
      <w:r>
        <w:rPr/>
      </w:r>
    </w:p>
    <w:p>
      <w:pPr>
        <w:pStyle w:val="Normal"/>
        <w:rPr/>
      </w:pPr>
      <w:r>
        <w:rPr/>
      </w:r>
    </w:p>
    <w:p>
      <w:pPr>
        <w:pStyle w:val="Normal"/>
        <w:rPr/>
      </w:pPr>
      <w:r>
        <w:rPr/>
      </w:r>
      <w:r>
        <w:br w:type="page"/>
      </w:r>
    </w:p>
    <w:p>
      <w:pPr>
        <w:pStyle w:val="Heading1"/>
        <w:pBdr>
          <w:bottom w:val="single" w:sz="12" w:space="4" w:color="4F9B3E"/>
        </w:pBdr>
        <w:spacing w:before="0" w:after="140"/>
        <w:rPr/>
      </w:pPr>
      <w:r>
        <w:rPr>
          <w:rFonts w:eastAsia="Arial" w:cs="Arial" w:ascii="Arial" w:hAnsi="Arial"/>
          <w:b/>
          <w:bCs/>
          <w:color w:val="1F4E79"/>
          <w:sz w:val="28"/>
          <w:szCs w:val="28"/>
        </w:rPr>
        <w:t>1. À qui s'adresse ce système</w:t>
      </w:r>
    </w:p>
    <w:p>
      <w:pPr>
        <w:pStyle w:val="Normal"/>
        <w:spacing w:lineRule="exact" w:line="276" w:before="0" w:after="120"/>
        <w:jc w:val="both"/>
        <w:rPr/>
      </w:pPr>
      <w:r>
        <w:rPr>
          <w:rFonts w:eastAsia="Arial" w:cs="Arial"/>
          <w:b w:val="false"/>
          <w:bCs w:val="false"/>
          <w:i w:val="false"/>
          <w:iCs w:val="false"/>
          <w:color w:val="222222"/>
          <w:sz w:val="20"/>
          <w:szCs w:val="20"/>
        </w:rPr>
        <w:t>Ce système documentaire est un socle SMSST clé en main, générique et modulaire, conçu pour être personnalisé rapidement par n'importe quel organisme souhaitant structurer sa santé-sécurité au travail selon l'ISO 45001:2018, avec ou sans objectif de certification.</w:t>
      </w:r>
    </w:p>
    <w:p>
      <w:pPr>
        <w:pStyle w:val="Normal"/>
        <w:spacing w:lineRule="exact" w:line="276" w:before="0" w:after="120"/>
        <w:jc w:val="both"/>
        <w:rPr/>
      </w:pPr>
      <w:r>
        <w:rPr>
          <w:rFonts w:eastAsia="Arial" w:cs="Arial"/>
          <w:b w:val="false"/>
          <w:bCs w:val="false"/>
          <w:i w:val="false"/>
          <w:iCs w:val="false"/>
          <w:color w:val="222222"/>
          <w:sz w:val="20"/>
          <w:szCs w:val="20"/>
        </w:rPr>
        <w:t xml:space="preserve">Il est calibré sur un socle </w:t>
      </w:r>
      <w:r>
        <w:rPr>
          <w:rFonts w:eastAsia="Arial" w:cs="Arial"/>
          <w:b/>
          <w:bCs/>
          <w:i w:val="false"/>
          <w:iCs w:val="false"/>
          <w:color w:val="222222"/>
          <w:sz w:val="20"/>
          <w:szCs w:val="20"/>
        </w:rPr>
        <w:t>PME</w:t>
      </w:r>
      <w:r>
        <w:rPr>
          <w:rFonts w:eastAsia="Arial" w:cs="Arial"/>
          <w:b w:val="false"/>
          <w:bCs w:val="false"/>
          <w:i w:val="false"/>
          <w:iCs w:val="false"/>
          <w:color w:val="222222"/>
          <w:sz w:val="20"/>
          <w:szCs w:val="20"/>
        </w:rPr>
        <w:t xml:space="preserve"> (organisations de 50 à 250 collaborateurs), avec des </w:t>
      </w:r>
      <w:r>
        <w:rPr>
          <w:rFonts w:eastAsia="Arial" w:cs="Arial"/>
          <w:b/>
          <w:bCs/>
          <w:i w:val="false"/>
          <w:iCs w:val="false"/>
          <w:color w:val="222222"/>
          <w:sz w:val="20"/>
          <w:szCs w:val="20"/>
        </w:rPr>
        <w:t>modules d'extension activables</w:t>
      </w:r>
      <w:r>
        <w:rPr>
          <w:rFonts w:eastAsia="Arial" w:cs="Arial"/>
          <w:b w:val="false"/>
          <w:bCs w:val="false"/>
          <w:i w:val="false"/>
          <w:iCs w:val="false"/>
          <w:color w:val="222222"/>
          <w:sz w:val="20"/>
          <w:szCs w:val="20"/>
        </w:rPr>
        <w:t xml:space="preserve"> pour les TPE (allègement) et les grands groupes (renforcement). Les exemples concrets — IPER, permis de travail, situations dangereuses — sont ancrés sur le secteur </w:t>
      </w:r>
      <w:r>
        <w:rPr>
          <w:rFonts w:eastAsia="Arial" w:cs="Arial"/>
          <w:b/>
          <w:bCs/>
          <w:i w:val="false"/>
          <w:iCs w:val="false"/>
          <w:color w:val="222222"/>
          <w:sz w:val="20"/>
          <w:szCs w:val="20"/>
        </w:rPr>
        <w:t>BTP / Construction</w:t>
      </w:r>
      <w:r>
        <w:rPr>
          <w:rFonts w:eastAsia="Arial" w:cs="Arial"/>
          <w:b w:val="false"/>
          <w:bCs w:val="false"/>
          <w:i w:val="false"/>
          <w:iCs w:val="false"/>
          <w:color w:val="222222"/>
          <w:sz w:val="20"/>
          <w:szCs w:val="20"/>
        </w:rPr>
        <w:t>, tout en restant transposables à tout secteur.</w:t>
      </w:r>
    </w:p>
    <w:p>
      <w:pPr>
        <w:pStyle w:val="Normal"/>
        <w:pBdr>
          <w:top w:val="single" w:sz="6" w:space="0" w:color="F5A623"/>
          <w:left w:val="single" w:sz="18" w:space="0" w:color="F5A623"/>
          <w:bottom w:val="single" w:sz="6" w:space="0" w:color="F5A623"/>
          <w:right w:val="single" w:sz="6" w:space="0" w:color="F5A623"/>
        </w:pBdr>
        <w:shd w:val="clear" w:fill="FDF0D5"/>
        <w:spacing w:before="60" w:after="120"/>
        <w:rPr/>
      </w:pPr>
      <w:r>
        <w:rPr>
          <w:rFonts w:eastAsia="Arial" w:cs="Arial"/>
          <w:b/>
          <w:bCs/>
          <w:color w:val="8A5A00"/>
          <w:sz w:val="19"/>
          <w:szCs w:val="19"/>
        </w:rPr>
        <w:t xml:space="preserve">⚑  </w:t>
      </w:r>
      <w:r>
        <w:rPr>
          <w:rFonts w:eastAsia="Arial" w:cs="Arial"/>
          <w:b/>
          <w:bCs/>
          <w:color w:val="8A5A00"/>
          <w:sz w:val="19"/>
          <w:szCs w:val="19"/>
        </w:rPr>
        <w:t>Le système est livré 100 % modifiable (Word, Excel, logigrammes draw.io/SVG). Adaptez, ne copiez pas : votre organisation est unique, vos processus doivent vous ressembler.</w:t>
      </w:r>
    </w:p>
    <w:p>
      <w:pPr>
        <w:pStyle w:val="Heading1"/>
        <w:pBdr>
          <w:bottom w:val="single" w:sz="12" w:space="4" w:color="4F9B3E"/>
        </w:pBdr>
        <w:spacing w:before="260" w:after="140"/>
        <w:rPr/>
      </w:pPr>
      <w:r>
        <w:rPr>
          <w:rFonts w:eastAsia="Arial" w:cs="Arial" w:ascii="Arial" w:hAnsi="Arial"/>
          <w:b/>
          <w:bCs/>
          <w:color w:val="1F4E79"/>
          <w:sz w:val="28"/>
          <w:szCs w:val="28"/>
        </w:rPr>
        <w:t>2. Contenu du système</w:t>
      </w:r>
    </w:p>
    <w:p>
      <w:pPr>
        <w:pStyle w:val="Normal"/>
        <w:spacing w:lineRule="exact" w:line="276" w:before="0" w:after="120"/>
        <w:jc w:val="both"/>
        <w:rPr/>
      </w:pPr>
      <w:r>
        <w:rPr>
          <w:rFonts w:eastAsia="Arial" w:cs="Arial"/>
          <w:b w:val="false"/>
          <w:bCs w:val="false"/>
          <w:i w:val="false"/>
          <w:iCs w:val="false"/>
          <w:color w:val="222222"/>
          <w:sz w:val="20"/>
          <w:szCs w:val="20"/>
        </w:rPr>
        <w:t>Le système reprend une arborescence éprouvée, adaptée à la santé-sécurité au travail :</w:t>
      </w:r>
    </w:p>
    <w:tbl>
      <w:tblPr>
        <w:tblW w:w="9026" w:type="dxa"/>
        <w:jc w:val="left"/>
        <w:tblInd w:w="0" w:type="dxa"/>
        <w:tblLayout w:type="fixed"/>
        <w:tblCellMar>
          <w:top w:w="60" w:type="dxa"/>
          <w:left w:w="100" w:type="dxa"/>
          <w:bottom w:w="60" w:type="dxa"/>
          <w:right w:w="100" w:type="dxa"/>
        </w:tblCellMar>
      </w:tblPr>
      <w:tblGrid>
        <w:gridCol w:w="2100"/>
        <w:gridCol w:w="4525"/>
        <w:gridCol w:w="2401"/>
      </w:tblGrid>
      <w:tr>
        <w:trPr>
          <w:tblHeader w:val="true"/>
        </w:trPr>
        <w:tc>
          <w:tcPr>
            <w:tcW w:w="2100" w:type="dxa"/>
            <w:tcBorders>
              <w:top w:val="single" w:sz="2" w:space="0" w:color="BFBFBF"/>
              <w:left w:val="single" w:sz="2" w:space="0" w:color="BFBFBF"/>
              <w:bottom w:val="single" w:sz="2" w:space="0" w:color="D9D9D9"/>
              <w:right w:val="single" w:sz="2" w:space="0" w:color="D9D9D9"/>
            </w:tcBorders>
            <w:shd w:fill="1F4E79" w:val="clear"/>
            <w:vAlign w:val="center"/>
          </w:tcPr>
          <w:p>
            <w:pPr>
              <w:pStyle w:val="Normal"/>
              <w:spacing w:lineRule="exact" w:line="252" w:before="0" w:after="0"/>
              <w:jc w:val="left"/>
              <w:rPr/>
            </w:pPr>
            <w:r>
              <w:rPr>
                <w:rFonts w:eastAsia="Arial" w:cs="Arial"/>
                <w:b/>
                <w:bCs/>
                <w:color w:val="FFFFFF"/>
                <w:sz w:val="19"/>
                <w:szCs w:val="19"/>
              </w:rPr>
              <w:t>Dossier</w:t>
            </w:r>
          </w:p>
        </w:tc>
        <w:tc>
          <w:tcPr>
            <w:tcW w:w="4525" w:type="dxa"/>
            <w:tcBorders>
              <w:top w:val="single" w:sz="2" w:space="0" w:color="BFBFBF"/>
              <w:left w:val="single" w:sz="2" w:space="0" w:color="D9D9D9"/>
              <w:bottom w:val="single" w:sz="2" w:space="0" w:color="D9D9D9"/>
              <w:right w:val="single" w:sz="2" w:space="0" w:color="D9D9D9"/>
            </w:tcBorders>
            <w:shd w:fill="1F4E79" w:val="clear"/>
            <w:vAlign w:val="center"/>
          </w:tcPr>
          <w:p>
            <w:pPr>
              <w:pStyle w:val="Normal"/>
              <w:spacing w:lineRule="exact" w:line="252" w:before="0" w:after="0"/>
              <w:jc w:val="left"/>
              <w:rPr/>
            </w:pPr>
            <w:r>
              <w:rPr>
                <w:rFonts w:eastAsia="Arial" w:cs="Arial"/>
                <w:b/>
                <w:bCs/>
                <w:color w:val="FFFFFF"/>
                <w:sz w:val="19"/>
                <w:szCs w:val="19"/>
              </w:rPr>
              <w:t>Contenu</w:t>
            </w:r>
          </w:p>
        </w:tc>
        <w:tc>
          <w:tcPr>
            <w:tcW w:w="2401" w:type="dxa"/>
            <w:tcBorders>
              <w:top w:val="single" w:sz="2" w:space="0" w:color="BFBFBF"/>
              <w:left w:val="single" w:sz="2" w:space="0" w:color="D9D9D9"/>
              <w:bottom w:val="single" w:sz="2" w:space="0" w:color="D9D9D9"/>
              <w:right w:val="single" w:sz="2" w:space="0" w:color="BFBFBF"/>
            </w:tcBorders>
            <w:shd w:fill="1F4E79" w:val="clear"/>
            <w:vAlign w:val="center"/>
          </w:tcPr>
          <w:p>
            <w:pPr>
              <w:pStyle w:val="Normal"/>
              <w:spacing w:lineRule="exact" w:line="252" w:before="0" w:after="0"/>
              <w:jc w:val="left"/>
              <w:rPr/>
            </w:pPr>
            <w:r>
              <w:rPr>
                <w:rFonts w:eastAsia="Arial" w:cs="Arial"/>
                <w:b/>
                <w:bCs/>
                <w:color w:val="FFFFFF"/>
                <w:sz w:val="19"/>
                <w:szCs w:val="19"/>
              </w:rPr>
              <w:t>Rôle</w:t>
            </w:r>
          </w:p>
        </w:tc>
      </w:tr>
      <w:tr>
        <w:trPr/>
        <w:tc>
          <w:tcPr>
            <w:tcW w:w="2100" w:type="dxa"/>
            <w:tcBorders>
              <w:top w:val="single" w:sz="2" w:space="0" w:color="D9D9D9"/>
              <w:left w:val="single" w:sz="2" w:space="0" w:color="BFBFBF"/>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00_Guides</w:t>
            </w:r>
          </w:p>
        </w:tc>
        <w:tc>
          <w:tcPr>
            <w:tcW w:w="4525" w:type="dxa"/>
            <w:tcBorders>
              <w:top w:val="single" w:sz="2" w:space="0" w:color="D9D9D9"/>
              <w:left w:val="single" w:sz="2" w:space="0" w:color="D9D9D9"/>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Ce guide, guide de personnalisation, guide des logigrammes</w:t>
            </w:r>
          </w:p>
        </w:tc>
        <w:tc>
          <w:tcPr>
            <w:tcW w:w="2401" w:type="dxa"/>
            <w:tcBorders>
              <w:top w:val="single" w:sz="2" w:space="0" w:color="D9D9D9"/>
              <w:left w:val="single" w:sz="2" w:space="0" w:color="D9D9D9"/>
              <w:bottom w:val="single" w:sz="2" w:space="0" w:color="D9D9D9"/>
              <w:right w:val="single" w:sz="2" w:space="0" w:color="BFBFBF"/>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Prise en main</w:t>
            </w:r>
          </w:p>
        </w:tc>
      </w:tr>
      <w:tr>
        <w:trPr/>
        <w:tc>
          <w:tcPr>
            <w:tcW w:w="2100" w:type="dxa"/>
            <w:tcBorders>
              <w:top w:val="single" w:sz="2" w:space="0" w:color="D9D9D9"/>
              <w:left w:val="single" w:sz="2" w:space="0" w:color="BFBFBF"/>
              <w:bottom w:val="single" w:sz="2" w:space="0" w:color="D9D9D9"/>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01_Gouvernance</w:t>
            </w:r>
          </w:p>
        </w:tc>
        <w:tc>
          <w:tcPr>
            <w:tcW w:w="4525" w:type="dxa"/>
            <w:tcBorders>
              <w:top w:val="single" w:sz="2" w:space="0" w:color="D9D9D9"/>
              <w:left w:val="single" w:sz="2" w:space="0" w:color="D9D9D9"/>
              <w:bottom w:val="single" w:sz="2" w:space="0" w:color="D9D9D9"/>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Politique SST (PO-SST-001), contexte &amp; parties intéressées (F-SST-001), cartographie des processus (CAR-SST-001)</w:t>
            </w:r>
          </w:p>
        </w:tc>
        <w:tc>
          <w:tcPr>
            <w:tcW w:w="2401" w:type="dxa"/>
            <w:tcBorders>
              <w:top w:val="single" w:sz="2" w:space="0" w:color="D9D9D9"/>
              <w:left w:val="single" w:sz="2" w:space="0" w:color="D9D9D9"/>
              <w:bottom w:val="single" w:sz="2" w:space="0" w:color="D9D9D9"/>
              <w:right w:val="single" w:sz="2" w:space="0" w:color="BFBFBF"/>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Fondations (§4, §5)</w:t>
            </w:r>
          </w:p>
        </w:tc>
      </w:tr>
      <w:tr>
        <w:trPr/>
        <w:tc>
          <w:tcPr>
            <w:tcW w:w="2100" w:type="dxa"/>
            <w:tcBorders>
              <w:top w:val="single" w:sz="2" w:space="0" w:color="D9D9D9"/>
              <w:left w:val="single" w:sz="2" w:space="0" w:color="BFBFBF"/>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02_Fiches_Processus</w:t>
            </w:r>
          </w:p>
        </w:tc>
        <w:tc>
          <w:tcPr>
            <w:tcW w:w="4525" w:type="dxa"/>
            <w:tcBorders>
              <w:top w:val="single" w:sz="2" w:space="0" w:color="D9D9D9"/>
              <w:left w:val="single" w:sz="2" w:space="0" w:color="D9D9D9"/>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8 fiches processus SST (pilotage, risques, conformité, opérations, urgences, incidents, compétences, surveillance)</w:t>
            </w:r>
          </w:p>
        </w:tc>
        <w:tc>
          <w:tcPr>
            <w:tcW w:w="2401" w:type="dxa"/>
            <w:tcBorders>
              <w:top w:val="single" w:sz="2" w:space="0" w:color="D9D9D9"/>
              <w:left w:val="single" w:sz="2" w:space="0" w:color="D9D9D9"/>
              <w:bottom w:val="single" w:sz="2" w:space="0" w:color="D9D9D9"/>
              <w:right w:val="single" w:sz="2" w:space="0" w:color="BFBFBF"/>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Approche processus (§4.4)</w:t>
            </w:r>
          </w:p>
        </w:tc>
      </w:tr>
      <w:tr>
        <w:trPr/>
        <w:tc>
          <w:tcPr>
            <w:tcW w:w="2100" w:type="dxa"/>
            <w:tcBorders>
              <w:top w:val="single" w:sz="2" w:space="0" w:color="D9D9D9"/>
              <w:left w:val="single" w:sz="2" w:space="0" w:color="BFBFBF"/>
              <w:bottom w:val="single" w:sz="2" w:space="0" w:color="D9D9D9"/>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03_Procedures</w:t>
            </w:r>
          </w:p>
        </w:tc>
        <w:tc>
          <w:tcPr>
            <w:tcW w:w="4525" w:type="dxa"/>
            <w:tcBorders>
              <w:top w:val="single" w:sz="2" w:space="0" w:color="D9D9D9"/>
              <w:left w:val="single" w:sz="2" w:space="0" w:color="D9D9D9"/>
              <w:bottom w:val="single" w:sz="2" w:space="0" w:color="D9D9D9"/>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Procédures + logigramme obligatoire par procédure</w:t>
            </w:r>
          </w:p>
        </w:tc>
        <w:tc>
          <w:tcPr>
            <w:tcW w:w="2401" w:type="dxa"/>
            <w:tcBorders>
              <w:top w:val="single" w:sz="2" w:space="0" w:color="D9D9D9"/>
              <w:left w:val="single" w:sz="2" w:space="0" w:color="D9D9D9"/>
              <w:bottom w:val="single" w:sz="2" w:space="0" w:color="D9D9D9"/>
              <w:right w:val="single" w:sz="2" w:space="0" w:color="BFBFBF"/>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Maîtrise opérationnelle</w:t>
            </w:r>
          </w:p>
        </w:tc>
      </w:tr>
      <w:tr>
        <w:trPr/>
        <w:tc>
          <w:tcPr>
            <w:tcW w:w="2100" w:type="dxa"/>
            <w:tcBorders>
              <w:top w:val="single" w:sz="2" w:space="0" w:color="D9D9D9"/>
              <w:left w:val="single" w:sz="2" w:space="0" w:color="BFBFBF"/>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04_Formulaires_Registres</w:t>
            </w:r>
          </w:p>
        </w:tc>
        <w:tc>
          <w:tcPr>
            <w:tcW w:w="4525" w:type="dxa"/>
            <w:tcBorders>
              <w:top w:val="single" w:sz="2" w:space="0" w:color="D9D9D9"/>
              <w:left w:val="single" w:sz="2" w:space="0" w:color="D9D9D9"/>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Registre IPER, permis de travail, registres accidents/EPI, tableaux de bord</w:t>
            </w:r>
          </w:p>
        </w:tc>
        <w:tc>
          <w:tcPr>
            <w:tcW w:w="2401" w:type="dxa"/>
            <w:tcBorders>
              <w:top w:val="single" w:sz="2" w:space="0" w:color="D9D9D9"/>
              <w:left w:val="single" w:sz="2" w:space="0" w:color="D9D9D9"/>
              <w:bottom w:val="single" w:sz="2" w:space="0" w:color="D9D9D9"/>
              <w:right w:val="single" w:sz="2" w:space="0" w:color="BFBFBF"/>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Enregistrements (§7.5)</w:t>
            </w:r>
          </w:p>
        </w:tc>
      </w:tr>
      <w:tr>
        <w:trPr/>
        <w:tc>
          <w:tcPr>
            <w:tcW w:w="2100" w:type="dxa"/>
            <w:tcBorders>
              <w:top w:val="single" w:sz="2" w:space="0" w:color="D9D9D9"/>
              <w:left w:val="single" w:sz="2" w:space="0" w:color="BFBFBF"/>
              <w:bottom w:val="single" w:sz="2" w:space="0" w:color="D9D9D9"/>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05_Logigrammes</w:t>
            </w:r>
          </w:p>
        </w:tc>
        <w:tc>
          <w:tcPr>
            <w:tcW w:w="4525" w:type="dxa"/>
            <w:tcBorders>
              <w:top w:val="single" w:sz="2" w:space="0" w:color="D9D9D9"/>
              <w:left w:val="single" w:sz="2" w:space="0" w:color="D9D9D9"/>
              <w:bottom w:val="single" w:sz="2" w:space="0" w:color="D9D9D9"/>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Sources draw.io + SVG + PNG 300 dpi (1 par procédure et par processus)</w:t>
            </w:r>
          </w:p>
        </w:tc>
        <w:tc>
          <w:tcPr>
            <w:tcW w:w="2401" w:type="dxa"/>
            <w:tcBorders>
              <w:top w:val="single" w:sz="2" w:space="0" w:color="D9D9D9"/>
              <w:left w:val="single" w:sz="2" w:space="0" w:color="D9D9D9"/>
              <w:bottom w:val="single" w:sz="2" w:space="0" w:color="D9D9D9"/>
              <w:right w:val="single" w:sz="2" w:space="0" w:color="BFBFBF"/>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Visualisation des flux</w:t>
            </w:r>
          </w:p>
        </w:tc>
      </w:tr>
      <w:tr>
        <w:trPr/>
        <w:tc>
          <w:tcPr>
            <w:tcW w:w="2100" w:type="dxa"/>
            <w:tcBorders>
              <w:top w:val="single" w:sz="2" w:space="0" w:color="D9D9D9"/>
              <w:left w:val="single" w:sz="2" w:space="0" w:color="BFBFBF"/>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06_Matrice</w:t>
            </w:r>
          </w:p>
        </w:tc>
        <w:tc>
          <w:tcPr>
            <w:tcW w:w="4525" w:type="dxa"/>
            <w:tcBorders>
              <w:top w:val="single" w:sz="2" w:space="0" w:color="D9D9D9"/>
              <w:left w:val="single" w:sz="2" w:space="0" w:color="D9D9D9"/>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Matrice de correspondance clause ISO 45001 (§4→§10) → document</w:t>
            </w:r>
          </w:p>
        </w:tc>
        <w:tc>
          <w:tcPr>
            <w:tcW w:w="2401" w:type="dxa"/>
            <w:tcBorders>
              <w:top w:val="single" w:sz="2" w:space="0" w:color="D9D9D9"/>
              <w:left w:val="single" w:sz="2" w:space="0" w:color="D9D9D9"/>
              <w:bottom w:val="single" w:sz="2" w:space="0" w:color="D9D9D9"/>
              <w:right w:val="single" w:sz="2" w:space="0" w:color="BFBFBF"/>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Traçabilité normative (§8)</w:t>
            </w:r>
          </w:p>
        </w:tc>
      </w:tr>
      <w:tr>
        <w:trPr/>
        <w:tc>
          <w:tcPr>
            <w:tcW w:w="2100" w:type="dxa"/>
            <w:tcBorders>
              <w:top w:val="single" w:sz="2" w:space="0" w:color="D9D9D9"/>
              <w:left w:val="single" w:sz="2" w:space="0" w:color="BFBFBF"/>
              <w:bottom w:val="single" w:sz="2" w:space="0" w:color="D9D9D9"/>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07_Manuel</w:t>
            </w:r>
          </w:p>
        </w:tc>
        <w:tc>
          <w:tcPr>
            <w:tcW w:w="4525" w:type="dxa"/>
            <w:tcBorders>
              <w:top w:val="single" w:sz="2" w:space="0" w:color="D9D9D9"/>
              <w:left w:val="single" w:sz="2" w:space="0" w:color="D9D9D9"/>
              <w:bottom w:val="single" w:sz="2" w:space="0" w:color="D9D9D9"/>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Manuel SMSST (MAN-SST-001)</w:t>
            </w:r>
          </w:p>
        </w:tc>
        <w:tc>
          <w:tcPr>
            <w:tcW w:w="2401" w:type="dxa"/>
            <w:tcBorders>
              <w:top w:val="single" w:sz="2" w:space="0" w:color="D9D9D9"/>
              <w:left w:val="single" w:sz="2" w:space="0" w:color="D9D9D9"/>
              <w:bottom w:val="single" w:sz="2" w:space="0" w:color="D9D9D9"/>
              <w:right w:val="single" w:sz="2" w:space="0" w:color="BFBFBF"/>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Vision d'ensemble</w:t>
            </w:r>
          </w:p>
        </w:tc>
      </w:tr>
      <w:tr>
        <w:trPr/>
        <w:tc>
          <w:tcPr>
            <w:tcW w:w="2100" w:type="dxa"/>
            <w:tcBorders>
              <w:top w:val="single" w:sz="2" w:space="0" w:color="D9D9D9"/>
              <w:left w:val="single" w:sz="2" w:space="0" w:color="BFBFBF"/>
              <w:bottom w:val="single" w:sz="2" w:space="0" w:color="BFBFBF"/>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08_Guide_Mise_en_Oeuvre</w:t>
            </w:r>
          </w:p>
        </w:tc>
        <w:tc>
          <w:tcPr>
            <w:tcW w:w="4525" w:type="dxa"/>
            <w:tcBorders>
              <w:top w:val="single" w:sz="2" w:space="0" w:color="D9D9D9"/>
              <w:left w:val="single" w:sz="2" w:space="0" w:color="D9D9D9"/>
              <w:bottom w:val="single" w:sz="2" w:space="0" w:color="BFBFBF"/>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Feuille de route de déploiement (phases, jalons, PDCA)</w:t>
            </w:r>
          </w:p>
        </w:tc>
        <w:tc>
          <w:tcPr>
            <w:tcW w:w="2401" w:type="dxa"/>
            <w:tcBorders>
              <w:top w:val="single" w:sz="2" w:space="0" w:color="D9D9D9"/>
              <w:left w:val="single" w:sz="2" w:space="0" w:color="D9D9D9"/>
              <w:bottom w:val="single" w:sz="2" w:space="0" w:color="BFBFBF"/>
              <w:right w:val="single" w:sz="2" w:space="0" w:color="BFBFBF"/>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Plan de projet</w:t>
            </w:r>
          </w:p>
        </w:tc>
      </w:tr>
    </w:tbl>
    <w:p>
      <w:pPr>
        <w:pStyle w:val="Heading1"/>
        <w:pBdr>
          <w:bottom w:val="single" w:sz="12" w:space="4" w:color="4F9B3E"/>
        </w:pBdr>
        <w:spacing w:before="260" w:after="140"/>
        <w:rPr/>
      </w:pPr>
      <w:r>
        <w:rPr>
          <w:rFonts w:eastAsia="Arial" w:cs="Arial" w:ascii="Arial" w:hAnsi="Arial"/>
          <w:b/>
          <w:bCs/>
          <w:color w:val="1F4E79"/>
          <w:sz w:val="28"/>
          <w:szCs w:val="28"/>
        </w:rPr>
        <w:t>3. Codification documentaire</w:t>
      </w:r>
    </w:p>
    <w:p>
      <w:pPr>
        <w:pStyle w:val="Normal"/>
        <w:spacing w:lineRule="exact" w:line="276" w:before="0" w:after="120"/>
        <w:jc w:val="both"/>
        <w:rPr/>
      </w:pPr>
      <w:r>
        <w:rPr>
          <w:rFonts w:eastAsia="Arial" w:cs="Arial"/>
          <w:b w:val="false"/>
          <w:bCs w:val="false"/>
          <w:i w:val="false"/>
          <w:iCs w:val="false"/>
          <w:color w:val="222222"/>
          <w:sz w:val="20"/>
          <w:szCs w:val="20"/>
        </w:rPr>
        <w:t>Chaque document porte un code lisible et stable, de la forme [TYPE]-[DOMAINE]-[NUM]. Les types et domaines :</w:t>
      </w:r>
    </w:p>
    <w:p>
      <w:pPr>
        <w:pStyle w:val="Heading2"/>
        <w:spacing w:before="180" w:after="90"/>
        <w:rPr/>
      </w:pPr>
      <w:r>
        <w:rPr>
          <w:rFonts w:eastAsia="Arial" w:cs="Arial" w:ascii="Arial" w:hAnsi="Arial"/>
          <w:b/>
          <w:bCs/>
          <w:color w:val="2E75B6"/>
          <w:sz w:val="23"/>
          <w:szCs w:val="23"/>
        </w:rPr>
        <w:t>Types de document</w:t>
      </w:r>
    </w:p>
    <w:tbl>
      <w:tblPr>
        <w:tblW w:w="9026" w:type="dxa"/>
        <w:jc w:val="left"/>
        <w:tblInd w:w="0" w:type="dxa"/>
        <w:tblLayout w:type="fixed"/>
        <w:tblCellMar>
          <w:top w:w="60" w:type="dxa"/>
          <w:left w:w="100" w:type="dxa"/>
          <w:bottom w:w="60" w:type="dxa"/>
          <w:right w:w="100" w:type="dxa"/>
        </w:tblCellMar>
      </w:tblPr>
      <w:tblGrid>
        <w:gridCol w:w="1199"/>
        <w:gridCol w:w="3314"/>
        <w:gridCol w:w="1199"/>
        <w:gridCol w:w="3313"/>
      </w:tblGrid>
      <w:tr>
        <w:trPr>
          <w:tblHeader w:val="true"/>
        </w:trPr>
        <w:tc>
          <w:tcPr>
            <w:tcW w:w="1199" w:type="dxa"/>
            <w:tcBorders>
              <w:top w:val="single" w:sz="2" w:space="0" w:color="BFBFBF"/>
              <w:left w:val="single" w:sz="2" w:space="0" w:color="BFBFBF"/>
              <w:bottom w:val="single" w:sz="2" w:space="0" w:color="D9D9D9"/>
              <w:right w:val="single" w:sz="2" w:space="0" w:color="D9D9D9"/>
            </w:tcBorders>
            <w:shd w:fill="1F4E79" w:val="clear"/>
            <w:vAlign w:val="center"/>
          </w:tcPr>
          <w:p>
            <w:pPr>
              <w:pStyle w:val="Normal"/>
              <w:spacing w:lineRule="exact" w:line="252" w:before="0" w:after="0"/>
              <w:jc w:val="left"/>
              <w:rPr/>
            </w:pPr>
            <w:r>
              <w:rPr>
                <w:rFonts w:eastAsia="Arial" w:cs="Arial"/>
                <w:b/>
                <w:bCs/>
                <w:color w:val="FFFFFF"/>
                <w:sz w:val="19"/>
                <w:szCs w:val="19"/>
              </w:rPr>
              <w:t>Type</w:t>
            </w:r>
          </w:p>
        </w:tc>
        <w:tc>
          <w:tcPr>
            <w:tcW w:w="3314" w:type="dxa"/>
            <w:tcBorders>
              <w:top w:val="single" w:sz="2" w:space="0" w:color="BFBFBF"/>
              <w:left w:val="single" w:sz="2" w:space="0" w:color="D9D9D9"/>
              <w:bottom w:val="single" w:sz="2" w:space="0" w:color="D9D9D9"/>
              <w:right w:val="single" w:sz="2" w:space="0" w:color="D9D9D9"/>
            </w:tcBorders>
            <w:shd w:fill="1F4E79" w:val="clear"/>
            <w:vAlign w:val="center"/>
          </w:tcPr>
          <w:p>
            <w:pPr>
              <w:pStyle w:val="Normal"/>
              <w:spacing w:lineRule="exact" w:line="252" w:before="0" w:after="0"/>
              <w:jc w:val="left"/>
              <w:rPr/>
            </w:pPr>
            <w:r>
              <w:rPr>
                <w:rFonts w:eastAsia="Arial" w:cs="Arial"/>
                <w:b/>
                <w:bCs/>
                <w:color w:val="FFFFFF"/>
                <w:sz w:val="19"/>
                <w:szCs w:val="19"/>
              </w:rPr>
              <w:t>Signification</w:t>
            </w:r>
          </w:p>
        </w:tc>
        <w:tc>
          <w:tcPr>
            <w:tcW w:w="1199" w:type="dxa"/>
            <w:tcBorders>
              <w:top w:val="single" w:sz="2" w:space="0" w:color="BFBFBF"/>
              <w:left w:val="single" w:sz="2" w:space="0" w:color="D9D9D9"/>
              <w:bottom w:val="single" w:sz="2" w:space="0" w:color="D9D9D9"/>
              <w:right w:val="single" w:sz="2" w:space="0" w:color="D9D9D9"/>
            </w:tcBorders>
            <w:shd w:fill="1F4E79" w:val="clear"/>
            <w:vAlign w:val="center"/>
          </w:tcPr>
          <w:p>
            <w:pPr>
              <w:pStyle w:val="Normal"/>
              <w:spacing w:lineRule="exact" w:line="252" w:before="0" w:after="0"/>
              <w:jc w:val="left"/>
              <w:rPr/>
            </w:pPr>
            <w:r>
              <w:rPr>
                <w:rFonts w:eastAsia="Arial" w:cs="Arial"/>
                <w:b/>
                <w:bCs/>
                <w:color w:val="FFFFFF"/>
                <w:sz w:val="19"/>
                <w:szCs w:val="19"/>
              </w:rPr>
              <w:t>Type</w:t>
            </w:r>
          </w:p>
        </w:tc>
        <w:tc>
          <w:tcPr>
            <w:tcW w:w="3313" w:type="dxa"/>
            <w:tcBorders>
              <w:top w:val="single" w:sz="2" w:space="0" w:color="BFBFBF"/>
              <w:left w:val="single" w:sz="2" w:space="0" w:color="D9D9D9"/>
              <w:bottom w:val="single" w:sz="2" w:space="0" w:color="D9D9D9"/>
              <w:right w:val="single" w:sz="2" w:space="0" w:color="BFBFBF"/>
            </w:tcBorders>
            <w:shd w:fill="1F4E79" w:val="clear"/>
            <w:vAlign w:val="center"/>
          </w:tcPr>
          <w:p>
            <w:pPr>
              <w:pStyle w:val="Normal"/>
              <w:spacing w:lineRule="exact" w:line="252" w:before="0" w:after="0"/>
              <w:jc w:val="left"/>
              <w:rPr/>
            </w:pPr>
            <w:r>
              <w:rPr>
                <w:rFonts w:eastAsia="Arial" w:cs="Arial"/>
                <w:b/>
                <w:bCs/>
                <w:color w:val="FFFFFF"/>
                <w:sz w:val="19"/>
                <w:szCs w:val="19"/>
              </w:rPr>
              <w:t>Signification</w:t>
            </w:r>
          </w:p>
        </w:tc>
      </w:tr>
      <w:tr>
        <w:trPr/>
        <w:tc>
          <w:tcPr>
            <w:tcW w:w="1199" w:type="dxa"/>
            <w:tcBorders>
              <w:top w:val="single" w:sz="2" w:space="0" w:color="D9D9D9"/>
              <w:left w:val="single" w:sz="2" w:space="0" w:color="BFBFBF"/>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PO</w:t>
            </w:r>
          </w:p>
        </w:tc>
        <w:tc>
          <w:tcPr>
            <w:tcW w:w="3314" w:type="dxa"/>
            <w:tcBorders>
              <w:top w:val="single" w:sz="2" w:space="0" w:color="D9D9D9"/>
              <w:left w:val="single" w:sz="2" w:space="0" w:color="D9D9D9"/>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Politique</w:t>
            </w:r>
          </w:p>
        </w:tc>
        <w:tc>
          <w:tcPr>
            <w:tcW w:w="1199" w:type="dxa"/>
            <w:tcBorders>
              <w:top w:val="single" w:sz="2" w:space="0" w:color="D9D9D9"/>
              <w:left w:val="single" w:sz="2" w:space="0" w:color="D9D9D9"/>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S</w:t>
            </w:r>
          </w:p>
        </w:tc>
        <w:tc>
          <w:tcPr>
            <w:tcW w:w="3313" w:type="dxa"/>
            <w:tcBorders>
              <w:top w:val="single" w:sz="2" w:space="0" w:color="D9D9D9"/>
              <w:left w:val="single" w:sz="2" w:space="0" w:color="D9D9D9"/>
              <w:bottom w:val="single" w:sz="2" w:space="0" w:color="D9D9D9"/>
              <w:right w:val="single" w:sz="2" w:space="0" w:color="BFBFBF"/>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Suivi / Registre</w:t>
            </w:r>
          </w:p>
        </w:tc>
      </w:tr>
      <w:tr>
        <w:trPr/>
        <w:tc>
          <w:tcPr>
            <w:tcW w:w="1199" w:type="dxa"/>
            <w:tcBorders>
              <w:top w:val="single" w:sz="2" w:space="0" w:color="D9D9D9"/>
              <w:left w:val="single" w:sz="2" w:space="0" w:color="BFBFBF"/>
              <w:bottom w:val="single" w:sz="2" w:space="0" w:color="D9D9D9"/>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PS</w:t>
            </w:r>
          </w:p>
        </w:tc>
        <w:tc>
          <w:tcPr>
            <w:tcW w:w="3314" w:type="dxa"/>
            <w:tcBorders>
              <w:top w:val="single" w:sz="2" w:space="0" w:color="D9D9D9"/>
              <w:left w:val="single" w:sz="2" w:space="0" w:color="D9D9D9"/>
              <w:bottom w:val="single" w:sz="2" w:space="0" w:color="D9D9D9"/>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Fiche de processus</w:t>
            </w:r>
          </w:p>
        </w:tc>
        <w:tc>
          <w:tcPr>
            <w:tcW w:w="1199" w:type="dxa"/>
            <w:tcBorders>
              <w:top w:val="single" w:sz="2" w:space="0" w:color="D9D9D9"/>
              <w:left w:val="single" w:sz="2" w:space="0" w:color="D9D9D9"/>
              <w:bottom w:val="single" w:sz="2" w:space="0" w:color="D9D9D9"/>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P</w:t>
            </w:r>
          </w:p>
        </w:tc>
        <w:tc>
          <w:tcPr>
            <w:tcW w:w="3313" w:type="dxa"/>
            <w:tcBorders>
              <w:top w:val="single" w:sz="2" w:space="0" w:color="D9D9D9"/>
              <w:left w:val="single" w:sz="2" w:space="0" w:color="D9D9D9"/>
              <w:bottom w:val="single" w:sz="2" w:space="0" w:color="D9D9D9"/>
              <w:right w:val="single" w:sz="2" w:space="0" w:color="BFBFBF"/>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Plan / Programme</w:t>
            </w:r>
          </w:p>
        </w:tc>
      </w:tr>
      <w:tr>
        <w:trPr/>
        <w:tc>
          <w:tcPr>
            <w:tcW w:w="1199" w:type="dxa"/>
            <w:tcBorders>
              <w:top w:val="single" w:sz="2" w:space="0" w:color="D9D9D9"/>
              <w:left w:val="single" w:sz="2" w:space="0" w:color="BFBFBF"/>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PR</w:t>
            </w:r>
          </w:p>
        </w:tc>
        <w:tc>
          <w:tcPr>
            <w:tcW w:w="3314" w:type="dxa"/>
            <w:tcBorders>
              <w:top w:val="single" w:sz="2" w:space="0" w:color="D9D9D9"/>
              <w:left w:val="single" w:sz="2" w:space="0" w:color="D9D9D9"/>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Procédure</w:t>
            </w:r>
          </w:p>
        </w:tc>
        <w:tc>
          <w:tcPr>
            <w:tcW w:w="1199" w:type="dxa"/>
            <w:tcBorders>
              <w:top w:val="single" w:sz="2" w:space="0" w:color="D9D9D9"/>
              <w:left w:val="single" w:sz="2" w:space="0" w:color="D9D9D9"/>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MAN</w:t>
            </w:r>
          </w:p>
        </w:tc>
        <w:tc>
          <w:tcPr>
            <w:tcW w:w="3313" w:type="dxa"/>
            <w:tcBorders>
              <w:top w:val="single" w:sz="2" w:space="0" w:color="D9D9D9"/>
              <w:left w:val="single" w:sz="2" w:space="0" w:color="D9D9D9"/>
              <w:bottom w:val="single" w:sz="2" w:space="0" w:color="D9D9D9"/>
              <w:right w:val="single" w:sz="2" w:space="0" w:color="BFBFBF"/>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Manuel</w:t>
            </w:r>
          </w:p>
        </w:tc>
      </w:tr>
      <w:tr>
        <w:trPr/>
        <w:tc>
          <w:tcPr>
            <w:tcW w:w="1199" w:type="dxa"/>
            <w:tcBorders>
              <w:top w:val="single" w:sz="2" w:space="0" w:color="D9D9D9"/>
              <w:left w:val="single" w:sz="2" w:space="0" w:color="BFBFBF"/>
              <w:bottom w:val="single" w:sz="2" w:space="0" w:color="D9D9D9"/>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IT</w:t>
            </w:r>
          </w:p>
        </w:tc>
        <w:tc>
          <w:tcPr>
            <w:tcW w:w="3314" w:type="dxa"/>
            <w:tcBorders>
              <w:top w:val="single" w:sz="2" w:space="0" w:color="D9D9D9"/>
              <w:left w:val="single" w:sz="2" w:space="0" w:color="D9D9D9"/>
              <w:bottom w:val="single" w:sz="2" w:space="0" w:color="D9D9D9"/>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Instruction de travail</w:t>
            </w:r>
          </w:p>
        </w:tc>
        <w:tc>
          <w:tcPr>
            <w:tcW w:w="1199" w:type="dxa"/>
            <w:tcBorders>
              <w:top w:val="single" w:sz="2" w:space="0" w:color="D9D9D9"/>
              <w:left w:val="single" w:sz="2" w:space="0" w:color="D9D9D9"/>
              <w:bottom w:val="single" w:sz="2" w:space="0" w:color="D9D9D9"/>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MATRICE</w:t>
            </w:r>
          </w:p>
        </w:tc>
        <w:tc>
          <w:tcPr>
            <w:tcW w:w="3313" w:type="dxa"/>
            <w:tcBorders>
              <w:top w:val="single" w:sz="2" w:space="0" w:color="D9D9D9"/>
              <w:left w:val="single" w:sz="2" w:space="0" w:color="D9D9D9"/>
              <w:bottom w:val="single" w:sz="2" w:space="0" w:color="D9D9D9"/>
              <w:right w:val="single" w:sz="2" w:space="0" w:color="BFBFBF"/>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Matrice de correspondance</w:t>
            </w:r>
          </w:p>
        </w:tc>
      </w:tr>
      <w:tr>
        <w:trPr/>
        <w:tc>
          <w:tcPr>
            <w:tcW w:w="1199" w:type="dxa"/>
            <w:tcBorders>
              <w:top w:val="single" w:sz="2" w:space="0" w:color="D9D9D9"/>
              <w:left w:val="single" w:sz="2" w:space="0" w:color="BFBFBF"/>
              <w:bottom w:val="single" w:sz="2" w:space="0" w:color="BFBFBF"/>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F</w:t>
            </w:r>
          </w:p>
        </w:tc>
        <w:tc>
          <w:tcPr>
            <w:tcW w:w="3314" w:type="dxa"/>
            <w:tcBorders>
              <w:top w:val="single" w:sz="2" w:space="0" w:color="D9D9D9"/>
              <w:left w:val="single" w:sz="2" w:space="0" w:color="D9D9D9"/>
              <w:bottom w:val="single" w:sz="2" w:space="0" w:color="BFBFBF"/>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Formulaire</w:t>
            </w:r>
          </w:p>
        </w:tc>
        <w:tc>
          <w:tcPr>
            <w:tcW w:w="1199" w:type="dxa"/>
            <w:tcBorders>
              <w:top w:val="single" w:sz="2" w:space="0" w:color="D9D9D9"/>
              <w:left w:val="single" w:sz="2" w:space="0" w:color="D9D9D9"/>
              <w:bottom w:val="single" w:sz="2" w:space="0" w:color="BFBFBF"/>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GUI</w:t>
            </w:r>
          </w:p>
        </w:tc>
        <w:tc>
          <w:tcPr>
            <w:tcW w:w="3313" w:type="dxa"/>
            <w:tcBorders>
              <w:top w:val="single" w:sz="2" w:space="0" w:color="D9D9D9"/>
              <w:left w:val="single" w:sz="2" w:space="0" w:color="D9D9D9"/>
              <w:bottom w:val="single" w:sz="2" w:space="0" w:color="BFBFBF"/>
              <w:right w:val="single" w:sz="2" w:space="0" w:color="BFBFBF"/>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Guide</w:t>
            </w:r>
          </w:p>
        </w:tc>
      </w:tr>
    </w:tbl>
    <w:p>
      <w:pPr>
        <w:pStyle w:val="Normal"/>
        <w:spacing w:before="0" w:after="100"/>
        <w:rPr/>
      </w:pPr>
      <w:r>
        <w:rPr/>
      </w:r>
    </w:p>
    <w:p>
      <w:pPr>
        <w:pStyle w:val="Heading2"/>
        <w:spacing w:before="180" w:after="90"/>
        <w:rPr/>
      </w:pPr>
      <w:r>
        <w:rPr>
          <w:rFonts w:eastAsia="Arial" w:cs="Arial" w:ascii="Arial" w:hAnsi="Arial"/>
          <w:b/>
          <w:bCs/>
          <w:color w:val="2E75B6"/>
          <w:sz w:val="23"/>
          <w:szCs w:val="23"/>
        </w:rPr>
        <w:t>Domaines SST</w:t>
      </w:r>
    </w:p>
    <w:tbl>
      <w:tblPr>
        <w:tblW w:w="9026" w:type="dxa"/>
        <w:jc w:val="left"/>
        <w:tblInd w:w="0" w:type="dxa"/>
        <w:tblLayout w:type="fixed"/>
        <w:tblCellMar>
          <w:top w:w="60" w:type="dxa"/>
          <w:left w:w="100" w:type="dxa"/>
          <w:bottom w:w="60" w:type="dxa"/>
          <w:right w:w="100" w:type="dxa"/>
        </w:tblCellMar>
      </w:tblPr>
      <w:tblGrid>
        <w:gridCol w:w="1100"/>
        <w:gridCol w:w="3626"/>
        <w:gridCol w:w="4300"/>
      </w:tblGrid>
      <w:tr>
        <w:trPr>
          <w:tblHeader w:val="true"/>
        </w:trPr>
        <w:tc>
          <w:tcPr>
            <w:tcW w:w="1100" w:type="dxa"/>
            <w:tcBorders>
              <w:top w:val="single" w:sz="2" w:space="0" w:color="BFBFBF"/>
              <w:left w:val="single" w:sz="2" w:space="0" w:color="BFBFBF"/>
              <w:bottom w:val="single" w:sz="2" w:space="0" w:color="D9D9D9"/>
              <w:right w:val="single" w:sz="2" w:space="0" w:color="D9D9D9"/>
            </w:tcBorders>
            <w:shd w:fill="1F4E79" w:val="clear"/>
            <w:vAlign w:val="center"/>
          </w:tcPr>
          <w:p>
            <w:pPr>
              <w:pStyle w:val="Normal"/>
              <w:spacing w:lineRule="exact" w:line="252" w:before="0" w:after="0"/>
              <w:jc w:val="left"/>
              <w:rPr/>
            </w:pPr>
            <w:r>
              <w:rPr>
                <w:rFonts w:eastAsia="Arial" w:cs="Arial"/>
                <w:b/>
                <w:bCs/>
                <w:color w:val="FFFFFF"/>
                <w:sz w:val="19"/>
                <w:szCs w:val="19"/>
              </w:rPr>
              <w:t>Code</w:t>
            </w:r>
          </w:p>
        </w:tc>
        <w:tc>
          <w:tcPr>
            <w:tcW w:w="3626" w:type="dxa"/>
            <w:tcBorders>
              <w:top w:val="single" w:sz="2" w:space="0" w:color="BFBFBF"/>
              <w:left w:val="single" w:sz="2" w:space="0" w:color="D9D9D9"/>
              <w:bottom w:val="single" w:sz="2" w:space="0" w:color="D9D9D9"/>
              <w:right w:val="single" w:sz="2" w:space="0" w:color="D9D9D9"/>
            </w:tcBorders>
            <w:shd w:fill="1F4E79" w:val="clear"/>
            <w:vAlign w:val="center"/>
          </w:tcPr>
          <w:p>
            <w:pPr>
              <w:pStyle w:val="Normal"/>
              <w:spacing w:lineRule="exact" w:line="252" w:before="0" w:after="0"/>
              <w:jc w:val="left"/>
              <w:rPr/>
            </w:pPr>
            <w:r>
              <w:rPr>
                <w:rFonts w:eastAsia="Arial" w:cs="Arial"/>
                <w:b/>
                <w:bCs/>
                <w:color w:val="FFFFFF"/>
                <w:sz w:val="19"/>
                <w:szCs w:val="19"/>
              </w:rPr>
              <w:t>Domaine</w:t>
            </w:r>
          </w:p>
        </w:tc>
        <w:tc>
          <w:tcPr>
            <w:tcW w:w="4300" w:type="dxa"/>
            <w:tcBorders>
              <w:top w:val="single" w:sz="2" w:space="0" w:color="BFBFBF"/>
              <w:left w:val="single" w:sz="2" w:space="0" w:color="D9D9D9"/>
              <w:bottom w:val="single" w:sz="2" w:space="0" w:color="D9D9D9"/>
              <w:right w:val="single" w:sz="2" w:space="0" w:color="BFBFBF"/>
            </w:tcBorders>
            <w:shd w:fill="1F4E79" w:val="clear"/>
            <w:vAlign w:val="center"/>
          </w:tcPr>
          <w:p>
            <w:pPr>
              <w:pStyle w:val="Normal"/>
              <w:spacing w:lineRule="exact" w:line="252" w:before="0" w:after="0"/>
              <w:jc w:val="left"/>
              <w:rPr/>
            </w:pPr>
            <w:r>
              <w:rPr>
                <w:rFonts w:eastAsia="Arial" w:cs="Arial"/>
                <w:b/>
                <w:bCs/>
                <w:color w:val="FFFFFF"/>
                <w:sz w:val="19"/>
                <w:szCs w:val="19"/>
              </w:rPr>
              <w:t>Clauses ISO 45001 principales</w:t>
            </w:r>
          </w:p>
        </w:tc>
      </w:tr>
      <w:tr>
        <w:trPr/>
        <w:tc>
          <w:tcPr>
            <w:tcW w:w="1100" w:type="dxa"/>
            <w:tcBorders>
              <w:top w:val="single" w:sz="2" w:space="0" w:color="D9D9D9"/>
              <w:left w:val="single" w:sz="2" w:space="0" w:color="BFBFBF"/>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SST</w:t>
            </w:r>
          </w:p>
        </w:tc>
        <w:tc>
          <w:tcPr>
            <w:tcW w:w="3626" w:type="dxa"/>
            <w:tcBorders>
              <w:top w:val="single" w:sz="2" w:space="0" w:color="D9D9D9"/>
              <w:left w:val="single" w:sz="2" w:space="0" w:color="D9D9D9"/>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Pilotage &amp; leadership</w:t>
            </w:r>
          </w:p>
        </w:tc>
        <w:tc>
          <w:tcPr>
            <w:tcW w:w="4300" w:type="dxa"/>
            <w:tcBorders>
              <w:top w:val="single" w:sz="2" w:space="0" w:color="D9D9D9"/>
              <w:left w:val="single" w:sz="2" w:space="0" w:color="D9D9D9"/>
              <w:bottom w:val="single" w:sz="2" w:space="0" w:color="D9D9D9"/>
              <w:right w:val="single" w:sz="2" w:space="0" w:color="BFBFBF"/>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§5 — Leadership et participation</w:t>
            </w:r>
          </w:p>
        </w:tc>
      </w:tr>
      <w:tr>
        <w:trPr/>
        <w:tc>
          <w:tcPr>
            <w:tcW w:w="1100" w:type="dxa"/>
            <w:tcBorders>
              <w:top w:val="single" w:sz="2" w:space="0" w:color="D9D9D9"/>
              <w:left w:val="single" w:sz="2" w:space="0" w:color="BFBFBF"/>
              <w:bottom w:val="single" w:sz="2" w:space="0" w:color="D9D9D9"/>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RIS</w:t>
            </w:r>
          </w:p>
        </w:tc>
        <w:tc>
          <w:tcPr>
            <w:tcW w:w="3626" w:type="dxa"/>
            <w:tcBorders>
              <w:top w:val="single" w:sz="2" w:space="0" w:color="D9D9D9"/>
              <w:left w:val="single" w:sz="2" w:space="0" w:color="D9D9D9"/>
              <w:bottom w:val="single" w:sz="2" w:space="0" w:color="D9D9D9"/>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Dangers &amp; risques</w:t>
            </w:r>
          </w:p>
        </w:tc>
        <w:tc>
          <w:tcPr>
            <w:tcW w:w="4300" w:type="dxa"/>
            <w:tcBorders>
              <w:top w:val="single" w:sz="2" w:space="0" w:color="D9D9D9"/>
              <w:left w:val="single" w:sz="2" w:space="0" w:color="D9D9D9"/>
              <w:bottom w:val="single" w:sz="2" w:space="0" w:color="D9D9D9"/>
              <w:right w:val="single" w:sz="2" w:space="0" w:color="BFBFBF"/>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§6.1 — Actions face aux risques et opportunités</w:t>
            </w:r>
          </w:p>
        </w:tc>
      </w:tr>
      <w:tr>
        <w:trPr/>
        <w:tc>
          <w:tcPr>
            <w:tcW w:w="1100" w:type="dxa"/>
            <w:tcBorders>
              <w:top w:val="single" w:sz="2" w:space="0" w:color="D9D9D9"/>
              <w:left w:val="single" w:sz="2" w:space="0" w:color="BFBFBF"/>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LEG</w:t>
            </w:r>
          </w:p>
        </w:tc>
        <w:tc>
          <w:tcPr>
            <w:tcW w:w="3626" w:type="dxa"/>
            <w:tcBorders>
              <w:top w:val="single" w:sz="2" w:space="0" w:color="D9D9D9"/>
              <w:left w:val="single" w:sz="2" w:space="0" w:color="D9D9D9"/>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Conformité légale</w:t>
            </w:r>
          </w:p>
        </w:tc>
        <w:tc>
          <w:tcPr>
            <w:tcW w:w="4300" w:type="dxa"/>
            <w:tcBorders>
              <w:top w:val="single" w:sz="2" w:space="0" w:color="D9D9D9"/>
              <w:left w:val="single" w:sz="2" w:space="0" w:color="D9D9D9"/>
              <w:bottom w:val="single" w:sz="2" w:space="0" w:color="D9D9D9"/>
              <w:right w:val="single" w:sz="2" w:space="0" w:color="BFBFBF"/>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§6.1.3 / §9.1.2 — Obligations de conformité</w:t>
            </w:r>
          </w:p>
        </w:tc>
      </w:tr>
      <w:tr>
        <w:trPr/>
        <w:tc>
          <w:tcPr>
            <w:tcW w:w="1100" w:type="dxa"/>
            <w:tcBorders>
              <w:top w:val="single" w:sz="2" w:space="0" w:color="D9D9D9"/>
              <w:left w:val="single" w:sz="2" w:space="0" w:color="BFBFBF"/>
              <w:bottom w:val="single" w:sz="2" w:space="0" w:color="D9D9D9"/>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OPS</w:t>
            </w:r>
          </w:p>
        </w:tc>
        <w:tc>
          <w:tcPr>
            <w:tcW w:w="3626" w:type="dxa"/>
            <w:tcBorders>
              <w:top w:val="single" w:sz="2" w:space="0" w:color="D9D9D9"/>
              <w:left w:val="single" w:sz="2" w:space="0" w:color="D9D9D9"/>
              <w:bottom w:val="single" w:sz="2" w:space="0" w:color="D9D9D9"/>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Maîtrise opérationnelle</w:t>
            </w:r>
          </w:p>
        </w:tc>
        <w:tc>
          <w:tcPr>
            <w:tcW w:w="4300" w:type="dxa"/>
            <w:tcBorders>
              <w:top w:val="single" w:sz="2" w:space="0" w:color="D9D9D9"/>
              <w:left w:val="single" w:sz="2" w:space="0" w:color="D9D9D9"/>
              <w:bottom w:val="single" w:sz="2" w:space="0" w:color="D9D9D9"/>
              <w:right w:val="single" w:sz="2" w:space="0" w:color="BFBFBF"/>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§8.1 — Planification et maîtrise opérationnelles</w:t>
            </w:r>
          </w:p>
        </w:tc>
      </w:tr>
      <w:tr>
        <w:trPr/>
        <w:tc>
          <w:tcPr>
            <w:tcW w:w="1100" w:type="dxa"/>
            <w:tcBorders>
              <w:top w:val="single" w:sz="2" w:space="0" w:color="D9D9D9"/>
              <w:left w:val="single" w:sz="2" w:space="0" w:color="BFBFBF"/>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URG</w:t>
            </w:r>
          </w:p>
        </w:tc>
        <w:tc>
          <w:tcPr>
            <w:tcW w:w="3626" w:type="dxa"/>
            <w:tcBorders>
              <w:top w:val="single" w:sz="2" w:space="0" w:color="D9D9D9"/>
              <w:left w:val="single" w:sz="2" w:space="0" w:color="D9D9D9"/>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Situations d'urgence</w:t>
            </w:r>
          </w:p>
        </w:tc>
        <w:tc>
          <w:tcPr>
            <w:tcW w:w="4300" w:type="dxa"/>
            <w:tcBorders>
              <w:top w:val="single" w:sz="2" w:space="0" w:color="D9D9D9"/>
              <w:left w:val="single" w:sz="2" w:space="0" w:color="D9D9D9"/>
              <w:bottom w:val="single" w:sz="2" w:space="0" w:color="D9D9D9"/>
              <w:right w:val="single" w:sz="2" w:space="0" w:color="BFBFBF"/>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§8.2 — Préparation et réponse aux urgences</w:t>
            </w:r>
          </w:p>
        </w:tc>
      </w:tr>
      <w:tr>
        <w:trPr/>
        <w:tc>
          <w:tcPr>
            <w:tcW w:w="1100" w:type="dxa"/>
            <w:tcBorders>
              <w:top w:val="single" w:sz="2" w:space="0" w:color="D9D9D9"/>
              <w:left w:val="single" w:sz="2" w:space="0" w:color="BFBFBF"/>
              <w:bottom w:val="single" w:sz="2" w:space="0" w:color="D9D9D9"/>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INC</w:t>
            </w:r>
          </w:p>
        </w:tc>
        <w:tc>
          <w:tcPr>
            <w:tcW w:w="3626" w:type="dxa"/>
            <w:tcBorders>
              <w:top w:val="single" w:sz="2" w:space="0" w:color="D9D9D9"/>
              <w:left w:val="single" w:sz="2" w:space="0" w:color="D9D9D9"/>
              <w:bottom w:val="single" w:sz="2" w:space="0" w:color="D9D9D9"/>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Incidents &amp; enquêtes</w:t>
            </w:r>
          </w:p>
        </w:tc>
        <w:tc>
          <w:tcPr>
            <w:tcW w:w="4300" w:type="dxa"/>
            <w:tcBorders>
              <w:top w:val="single" w:sz="2" w:space="0" w:color="D9D9D9"/>
              <w:left w:val="single" w:sz="2" w:space="0" w:color="D9D9D9"/>
              <w:bottom w:val="single" w:sz="2" w:space="0" w:color="D9D9D9"/>
              <w:right w:val="single" w:sz="2" w:space="0" w:color="BFBFBF"/>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§10.2 — Incident, non-conformité, action corrective</w:t>
            </w:r>
          </w:p>
        </w:tc>
      </w:tr>
      <w:tr>
        <w:trPr/>
        <w:tc>
          <w:tcPr>
            <w:tcW w:w="1100" w:type="dxa"/>
            <w:tcBorders>
              <w:top w:val="single" w:sz="2" w:space="0" w:color="D9D9D9"/>
              <w:left w:val="single" w:sz="2" w:space="0" w:color="BFBFBF"/>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CMP</w:t>
            </w:r>
          </w:p>
        </w:tc>
        <w:tc>
          <w:tcPr>
            <w:tcW w:w="3626" w:type="dxa"/>
            <w:tcBorders>
              <w:top w:val="single" w:sz="2" w:space="0" w:color="D9D9D9"/>
              <w:left w:val="single" w:sz="2" w:space="0" w:color="D9D9D9"/>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Compétence, consultation, communication</w:t>
            </w:r>
          </w:p>
        </w:tc>
        <w:tc>
          <w:tcPr>
            <w:tcW w:w="4300" w:type="dxa"/>
            <w:tcBorders>
              <w:top w:val="single" w:sz="2" w:space="0" w:color="D9D9D9"/>
              <w:left w:val="single" w:sz="2" w:space="0" w:color="D9D9D9"/>
              <w:bottom w:val="single" w:sz="2" w:space="0" w:color="D9D9D9"/>
              <w:right w:val="single" w:sz="2" w:space="0" w:color="BFBFBF"/>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§7.2 / §5.4 / §7.4</w:t>
            </w:r>
          </w:p>
        </w:tc>
      </w:tr>
      <w:tr>
        <w:trPr/>
        <w:tc>
          <w:tcPr>
            <w:tcW w:w="1100" w:type="dxa"/>
            <w:tcBorders>
              <w:top w:val="single" w:sz="2" w:space="0" w:color="D9D9D9"/>
              <w:left w:val="single" w:sz="2" w:space="0" w:color="BFBFBF"/>
              <w:bottom w:val="single" w:sz="2" w:space="0" w:color="BFBFBF"/>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SUR</w:t>
            </w:r>
          </w:p>
        </w:tc>
        <w:tc>
          <w:tcPr>
            <w:tcW w:w="3626" w:type="dxa"/>
            <w:tcBorders>
              <w:top w:val="single" w:sz="2" w:space="0" w:color="D9D9D9"/>
              <w:left w:val="single" w:sz="2" w:space="0" w:color="D9D9D9"/>
              <w:bottom w:val="single" w:sz="2" w:space="0" w:color="BFBFBF"/>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Surveillance, mesure, audit, revue</w:t>
            </w:r>
          </w:p>
        </w:tc>
        <w:tc>
          <w:tcPr>
            <w:tcW w:w="4300" w:type="dxa"/>
            <w:tcBorders>
              <w:top w:val="single" w:sz="2" w:space="0" w:color="D9D9D9"/>
              <w:left w:val="single" w:sz="2" w:space="0" w:color="D9D9D9"/>
              <w:bottom w:val="single" w:sz="2" w:space="0" w:color="BFBFBF"/>
              <w:right w:val="single" w:sz="2" w:space="0" w:color="BFBFBF"/>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§9 — Évaluation des performances</w:t>
            </w:r>
          </w:p>
        </w:tc>
      </w:tr>
    </w:tbl>
    <w:p>
      <w:pPr>
        <w:pStyle w:val="Normal"/>
        <w:pBdr>
          <w:top w:val="single" w:sz="6" w:space="0" w:color="F5A623"/>
          <w:left w:val="single" w:sz="18" w:space="0" w:color="F5A623"/>
          <w:bottom w:val="single" w:sz="6" w:space="0" w:color="F5A623"/>
          <w:right w:val="single" w:sz="6" w:space="0" w:color="F5A623"/>
        </w:pBdr>
        <w:shd w:val="clear" w:fill="FDF0D5"/>
        <w:spacing w:before="60" w:after="120"/>
        <w:rPr/>
      </w:pPr>
      <w:r>
        <w:rPr>
          <w:rFonts w:eastAsia="Arial" w:cs="Arial"/>
          <w:b/>
          <w:bCs/>
          <w:color w:val="8A5A00"/>
          <w:sz w:val="19"/>
          <w:szCs w:val="19"/>
        </w:rPr>
        <w:t xml:space="preserve">⚑  </w:t>
      </w:r>
      <w:r>
        <w:rPr>
          <w:rFonts w:eastAsia="Arial" w:cs="Arial"/>
          <w:b/>
          <w:bCs/>
          <w:color w:val="8A5A00"/>
          <w:sz w:val="19"/>
          <w:szCs w:val="19"/>
        </w:rPr>
        <w:t>Les numéros de clause ci-dessus reprennent la structure de haut niveau de l'ISO 45001:2018. La matrice de correspondance détaillée (dossier 06) vérifie chaque exigence, §4 à §10, sur le texte normatif de référence.</w:t>
      </w:r>
    </w:p>
    <w:p>
      <w:pPr>
        <w:pStyle w:val="Heading1"/>
        <w:pBdr>
          <w:bottom w:val="single" w:sz="12" w:space="4" w:color="4F9B3E"/>
        </w:pBdr>
        <w:spacing w:before="260" w:after="140"/>
        <w:rPr/>
      </w:pPr>
      <w:r>
        <w:rPr>
          <w:rFonts w:eastAsia="Arial" w:cs="Arial" w:ascii="Arial" w:hAnsi="Arial"/>
          <w:b/>
          <w:bCs/>
          <w:color w:val="1F4E79"/>
          <w:sz w:val="28"/>
          <w:szCs w:val="28"/>
        </w:rPr>
        <w:t>4. Compatibilité et formats</w:t>
      </w:r>
    </w:p>
    <w:p>
      <w:pPr>
        <w:pStyle w:val="Normal"/>
        <w:spacing w:lineRule="exact" w:line="276" w:before="0" w:after="120"/>
        <w:jc w:val="both"/>
        <w:rPr/>
      </w:pPr>
      <w:r>
        <w:rPr>
          <w:rFonts w:eastAsia="Arial" w:cs="Arial"/>
          <w:b w:val="false"/>
          <w:bCs w:val="false"/>
          <w:i w:val="false"/>
          <w:iCs w:val="false"/>
          <w:color w:val="222222"/>
          <w:sz w:val="20"/>
          <w:szCs w:val="20"/>
        </w:rPr>
        <w:t>Tous les fichiers sont ouverts et éditables, sans logiciel propriétaire obligatoire :</w:t>
      </w:r>
    </w:p>
    <w:tbl>
      <w:tblPr>
        <w:tblW w:w="9026" w:type="dxa"/>
        <w:jc w:val="left"/>
        <w:tblInd w:w="0" w:type="dxa"/>
        <w:tblLayout w:type="fixed"/>
        <w:tblCellMar>
          <w:top w:w="60" w:type="dxa"/>
          <w:left w:w="100" w:type="dxa"/>
          <w:bottom w:w="60" w:type="dxa"/>
          <w:right w:w="100" w:type="dxa"/>
        </w:tblCellMar>
      </w:tblPr>
      <w:tblGrid>
        <w:gridCol w:w="1697"/>
        <w:gridCol w:w="4826"/>
        <w:gridCol w:w="2503"/>
      </w:tblGrid>
      <w:tr>
        <w:trPr>
          <w:tblHeader w:val="true"/>
        </w:trPr>
        <w:tc>
          <w:tcPr>
            <w:tcW w:w="1697" w:type="dxa"/>
            <w:tcBorders>
              <w:top w:val="single" w:sz="2" w:space="0" w:color="BFBFBF"/>
              <w:left w:val="single" w:sz="2" w:space="0" w:color="BFBFBF"/>
              <w:bottom w:val="single" w:sz="2" w:space="0" w:color="D9D9D9"/>
              <w:right w:val="single" w:sz="2" w:space="0" w:color="D9D9D9"/>
            </w:tcBorders>
            <w:shd w:fill="1F4E79" w:val="clear"/>
            <w:vAlign w:val="center"/>
          </w:tcPr>
          <w:p>
            <w:pPr>
              <w:pStyle w:val="Normal"/>
              <w:spacing w:lineRule="exact" w:line="252" w:before="0" w:after="0"/>
              <w:jc w:val="left"/>
              <w:rPr/>
            </w:pPr>
            <w:r>
              <w:rPr>
                <w:rFonts w:eastAsia="Arial" w:cs="Arial"/>
                <w:b/>
                <w:bCs/>
                <w:color w:val="FFFFFF"/>
                <w:sz w:val="19"/>
                <w:szCs w:val="19"/>
              </w:rPr>
              <w:t>Format</w:t>
            </w:r>
          </w:p>
        </w:tc>
        <w:tc>
          <w:tcPr>
            <w:tcW w:w="4826" w:type="dxa"/>
            <w:tcBorders>
              <w:top w:val="single" w:sz="2" w:space="0" w:color="BFBFBF"/>
              <w:left w:val="single" w:sz="2" w:space="0" w:color="D9D9D9"/>
              <w:bottom w:val="single" w:sz="2" w:space="0" w:color="D9D9D9"/>
              <w:right w:val="single" w:sz="2" w:space="0" w:color="D9D9D9"/>
            </w:tcBorders>
            <w:shd w:fill="1F4E79" w:val="clear"/>
            <w:vAlign w:val="center"/>
          </w:tcPr>
          <w:p>
            <w:pPr>
              <w:pStyle w:val="Normal"/>
              <w:spacing w:lineRule="exact" w:line="252" w:before="0" w:after="0"/>
              <w:jc w:val="left"/>
              <w:rPr/>
            </w:pPr>
            <w:r>
              <w:rPr>
                <w:rFonts w:eastAsia="Arial" w:cs="Arial"/>
                <w:b/>
                <w:bCs/>
                <w:color w:val="FFFFFF"/>
                <w:sz w:val="19"/>
                <w:szCs w:val="19"/>
              </w:rPr>
              <w:t>Ouvrir / éditer avec</w:t>
            </w:r>
          </w:p>
        </w:tc>
        <w:tc>
          <w:tcPr>
            <w:tcW w:w="2503" w:type="dxa"/>
            <w:tcBorders>
              <w:top w:val="single" w:sz="2" w:space="0" w:color="BFBFBF"/>
              <w:left w:val="single" w:sz="2" w:space="0" w:color="D9D9D9"/>
              <w:bottom w:val="single" w:sz="2" w:space="0" w:color="D9D9D9"/>
              <w:right w:val="single" w:sz="2" w:space="0" w:color="BFBFBF"/>
            </w:tcBorders>
            <w:shd w:fill="1F4E79" w:val="clear"/>
            <w:vAlign w:val="center"/>
          </w:tcPr>
          <w:p>
            <w:pPr>
              <w:pStyle w:val="Normal"/>
              <w:spacing w:lineRule="exact" w:line="252" w:before="0" w:after="0"/>
              <w:jc w:val="left"/>
              <w:rPr/>
            </w:pPr>
            <w:r>
              <w:rPr>
                <w:rFonts w:eastAsia="Arial" w:cs="Arial"/>
                <w:b/>
                <w:bCs/>
                <w:color w:val="FFFFFF"/>
                <w:sz w:val="19"/>
                <w:szCs w:val="19"/>
              </w:rPr>
              <w:t>Note</w:t>
            </w:r>
          </w:p>
        </w:tc>
      </w:tr>
      <w:tr>
        <w:trPr/>
        <w:tc>
          <w:tcPr>
            <w:tcW w:w="1697" w:type="dxa"/>
            <w:tcBorders>
              <w:top w:val="single" w:sz="2" w:space="0" w:color="D9D9D9"/>
              <w:left w:val="single" w:sz="2" w:space="0" w:color="BFBFBF"/>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Word (.docx)</w:t>
            </w:r>
          </w:p>
        </w:tc>
        <w:tc>
          <w:tcPr>
            <w:tcW w:w="4826" w:type="dxa"/>
            <w:tcBorders>
              <w:top w:val="single" w:sz="2" w:space="0" w:color="D9D9D9"/>
              <w:left w:val="single" w:sz="2" w:space="0" w:color="D9D9D9"/>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Microsoft Word 2016+, Word Mac, LibreOffice Writer, Google Docs</w:t>
            </w:r>
          </w:p>
        </w:tc>
        <w:tc>
          <w:tcPr>
            <w:tcW w:w="2503" w:type="dxa"/>
            <w:tcBorders>
              <w:top w:val="single" w:sz="2" w:space="0" w:color="D9D9D9"/>
              <w:left w:val="single" w:sz="2" w:space="0" w:color="D9D9D9"/>
              <w:bottom w:val="single" w:sz="2" w:space="0" w:color="D9D9D9"/>
              <w:right w:val="single" w:sz="2" w:space="0" w:color="BFBFBF"/>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Sommaires automatiques</w:t>
            </w:r>
          </w:p>
        </w:tc>
      </w:tr>
      <w:tr>
        <w:trPr/>
        <w:tc>
          <w:tcPr>
            <w:tcW w:w="1697" w:type="dxa"/>
            <w:tcBorders>
              <w:top w:val="single" w:sz="2" w:space="0" w:color="D9D9D9"/>
              <w:left w:val="single" w:sz="2" w:space="0" w:color="BFBFBF"/>
              <w:bottom w:val="single" w:sz="2" w:space="0" w:color="D9D9D9"/>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Excel (.xlsx)</w:t>
            </w:r>
          </w:p>
        </w:tc>
        <w:tc>
          <w:tcPr>
            <w:tcW w:w="4826" w:type="dxa"/>
            <w:tcBorders>
              <w:top w:val="single" w:sz="2" w:space="0" w:color="D9D9D9"/>
              <w:left w:val="single" w:sz="2" w:space="0" w:color="D9D9D9"/>
              <w:bottom w:val="single" w:sz="2" w:space="0" w:color="D9D9D9"/>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Microsoft Excel, LibreOffice Calc, Google Sheets</w:t>
            </w:r>
          </w:p>
        </w:tc>
        <w:tc>
          <w:tcPr>
            <w:tcW w:w="2503" w:type="dxa"/>
            <w:tcBorders>
              <w:top w:val="single" w:sz="2" w:space="0" w:color="D9D9D9"/>
              <w:left w:val="single" w:sz="2" w:space="0" w:color="D9D9D9"/>
              <w:bottom w:val="single" w:sz="2" w:space="0" w:color="D9D9D9"/>
              <w:right w:val="single" w:sz="2" w:space="0" w:color="BFBFBF"/>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Formules vérifiées, sans gridlines</w:t>
            </w:r>
          </w:p>
        </w:tc>
      </w:tr>
      <w:tr>
        <w:trPr/>
        <w:tc>
          <w:tcPr>
            <w:tcW w:w="1697" w:type="dxa"/>
            <w:tcBorders>
              <w:top w:val="single" w:sz="2" w:space="0" w:color="D9D9D9"/>
              <w:left w:val="single" w:sz="2" w:space="0" w:color="BFBFBF"/>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draw.io (.drawio)</w:t>
            </w:r>
          </w:p>
        </w:tc>
        <w:tc>
          <w:tcPr>
            <w:tcW w:w="4826" w:type="dxa"/>
            <w:tcBorders>
              <w:top w:val="single" w:sz="2" w:space="0" w:color="D9D9D9"/>
              <w:left w:val="single" w:sz="2" w:space="0" w:color="D9D9D9"/>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app.diagrams.net (gratuit), draw.io Desktop, VS Code, importable Visio</w:t>
            </w:r>
          </w:p>
        </w:tc>
        <w:tc>
          <w:tcPr>
            <w:tcW w:w="2503" w:type="dxa"/>
            <w:tcBorders>
              <w:top w:val="single" w:sz="2" w:space="0" w:color="D9D9D9"/>
              <w:left w:val="single" w:sz="2" w:space="0" w:color="D9D9D9"/>
              <w:bottom w:val="single" w:sz="2" w:space="0" w:color="D9D9D9"/>
              <w:right w:val="single" w:sz="2" w:space="0" w:color="BFBFBF"/>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Logigrammes éditables</w:t>
            </w:r>
          </w:p>
        </w:tc>
      </w:tr>
      <w:tr>
        <w:trPr/>
        <w:tc>
          <w:tcPr>
            <w:tcW w:w="1697" w:type="dxa"/>
            <w:tcBorders>
              <w:top w:val="single" w:sz="2" w:space="0" w:color="D9D9D9"/>
              <w:left w:val="single" w:sz="2" w:space="0" w:color="BFBFBF"/>
              <w:bottom w:val="single" w:sz="2" w:space="0" w:color="D9D9D9"/>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SVG</w:t>
            </w:r>
          </w:p>
        </w:tc>
        <w:tc>
          <w:tcPr>
            <w:tcW w:w="4826" w:type="dxa"/>
            <w:tcBorders>
              <w:top w:val="single" w:sz="2" w:space="0" w:color="D9D9D9"/>
              <w:left w:val="single" w:sz="2" w:space="0" w:color="D9D9D9"/>
              <w:bottom w:val="single" w:sz="2" w:space="0" w:color="D9D9D9"/>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Inkscape, Illustrator, Affinity, navigateur</w:t>
            </w:r>
          </w:p>
        </w:tc>
        <w:tc>
          <w:tcPr>
            <w:tcW w:w="2503" w:type="dxa"/>
            <w:tcBorders>
              <w:top w:val="single" w:sz="2" w:space="0" w:color="D9D9D9"/>
              <w:left w:val="single" w:sz="2" w:space="0" w:color="D9D9D9"/>
              <w:bottom w:val="single" w:sz="2" w:space="0" w:color="D9D9D9"/>
              <w:right w:val="single" w:sz="2" w:space="0" w:color="BFBFBF"/>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Vectoriel</w:t>
            </w:r>
          </w:p>
        </w:tc>
      </w:tr>
      <w:tr>
        <w:trPr/>
        <w:tc>
          <w:tcPr>
            <w:tcW w:w="1697" w:type="dxa"/>
            <w:tcBorders>
              <w:top w:val="single" w:sz="2" w:space="0" w:color="D9D9D9"/>
              <w:left w:val="single" w:sz="2" w:space="0" w:color="BFBFBF"/>
              <w:bottom w:val="single" w:sz="2" w:space="0" w:color="BFBFBF"/>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PNG 300 dpi</w:t>
            </w:r>
          </w:p>
        </w:tc>
        <w:tc>
          <w:tcPr>
            <w:tcW w:w="4826" w:type="dxa"/>
            <w:tcBorders>
              <w:top w:val="single" w:sz="2" w:space="0" w:color="D9D9D9"/>
              <w:left w:val="single" w:sz="2" w:space="0" w:color="D9D9D9"/>
              <w:bottom w:val="single" w:sz="2" w:space="0" w:color="BFBFBF"/>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Déjà intégrés dans les Word</w:t>
            </w:r>
          </w:p>
        </w:tc>
        <w:tc>
          <w:tcPr>
            <w:tcW w:w="2503" w:type="dxa"/>
            <w:tcBorders>
              <w:top w:val="single" w:sz="2" w:space="0" w:color="D9D9D9"/>
              <w:left w:val="single" w:sz="2" w:space="0" w:color="D9D9D9"/>
              <w:bottom w:val="single" w:sz="2" w:space="0" w:color="BFBFBF"/>
              <w:right w:val="single" w:sz="2" w:space="0" w:color="BFBFBF"/>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Impression haute définition</w:t>
            </w:r>
          </w:p>
        </w:tc>
      </w:tr>
    </w:tbl>
    <w:p>
      <w:pPr>
        <w:pStyle w:val="Heading1"/>
        <w:pBdr>
          <w:bottom w:val="single" w:sz="12" w:space="4" w:color="4F9B3E"/>
        </w:pBdr>
        <w:spacing w:before="260" w:after="140"/>
        <w:rPr/>
      </w:pPr>
      <w:r>
        <w:rPr>
          <w:rFonts w:eastAsia="Arial" w:cs="Arial" w:ascii="Arial" w:hAnsi="Arial"/>
          <w:b/>
          <w:bCs/>
          <w:color w:val="1F4E79"/>
          <w:sz w:val="28"/>
          <w:szCs w:val="28"/>
        </w:rPr>
        <w:t>5. Prise en main rapide</w:t>
      </w:r>
    </w:p>
    <w:p>
      <w:pPr>
        <w:pStyle w:val="ListParagraph"/>
        <w:numPr>
          <w:ilvl w:val="0"/>
          <w:numId w:val="13"/>
        </w:numPr>
        <w:spacing w:lineRule="exact" w:line="264" w:before="0" w:after="60"/>
        <w:rPr/>
      </w:pPr>
      <w:r>
        <w:rPr>
          <w:rFonts w:eastAsia="Arial" w:cs="Arial"/>
          <w:b/>
          <w:bCs/>
          <w:i w:val="false"/>
          <w:iCs w:val="false"/>
          <w:color w:val="222222"/>
          <w:sz w:val="20"/>
          <w:szCs w:val="20"/>
        </w:rPr>
        <w:t xml:space="preserve">Étape 1 — Sauvegardez les originaux </w:t>
      </w:r>
      <w:r>
        <w:rPr>
          <w:rFonts w:eastAsia="Arial" w:cs="Arial"/>
          <w:b w:val="false"/>
          <w:bCs w:val="false"/>
          <w:i w:val="false"/>
          <w:iCs w:val="false"/>
          <w:color w:val="222222"/>
          <w:sz w:val="20"/>
          <w:szCs w:val="20"/>
        </w:rPr>
        <w:t>dans un sous-dossier « _Originaux » avant toute modification.</w:t>
      </w:r>
    </w:p>
    <w:p>
      <w:pPr>
        <w:pStyle w:val="ListParagraph"/>
        <w:numPr>
          <w:ilvl w:val="0"/>
          <w:numId w:val="14"/>
        </w:numPr>
        <w:spacing w:lineRule="exact" w:line="264" w:before="0" w:after="60"/>
        <w:rPr/>
      </w:pPr>
      <w:r>
        <w:rPr>
          <w:rFonts w:eastAsia="Arial" w:cs="Arial"/>
          <w:b/>
          <w:bCs/>
          <w:i w:val="false"/>
          <w:iCs w:val="false"/>
          <w:color w:val="222222"/>
          <w:sz w:val="20"/>
          <w:szCs w:val="20"/>
        </w:rPr>
        <w:t>Étape 2 — Personnalisez l'identité (voir le guide GUI-SST-002) : remplacez [LOGO CLIENT], [NOM DE L'ORGANISME] et toutes les zones [À COMPLÉTER].</w:t>
      </w:r>
    </w:p>
    <w:p>
      <w:pPr>
        <w:pStyle w:val="ListParagraph"/>
        <w:numPr>
          <w:ilvl w:val="0"/>
          <w:numId w:val="15"/>
        </w:numPr>
        <w:spacing w:lineRule="exact" w:line="264" w:before="0" w:after="60"/>
        <w:rPr/>
      </w:pPr>
      <w:r>
        <w:rPr>
          <w:rFonts w:eastAsia="Arial" w:cs="Arial"/>
          <w:b/>
          <w:bCs/>
          <w:i w:val="false"/>
          <w:iCs w:val="false"/>
          <w:color w:val="222222"/>
          <w:sz w:val="20"/>
          <w:szCs w:val="20"/>
        </w:rPr>
        <w:t xml:space="preserve">Étape 3 — Activez les modules </w:t>
      </w:r>
      <w:r>
        <w:rPr>
          <w:rFonts w:eastAsia="Arial" w:cs="Arial"/>
          <w:b w:val="false"/>
          <w:bCs w:val="false"/>
          <w:i w:val="false"/>
          <w:iCs w:val="false"/>
          <w:color w:val="222222"/>
          <w:sz w:val="20"/>
          <w:szCs w:val="20"/>
        </w:rPr>
        <w:t>adaptés à votre taille et à votre secteur, désactivez le superflu.</w:t>
      </w:r>
    </w:p>
    <w:p>
      <w:pPr>
        <w:pStyle w:val="ListParagraph"/>
        <w:numPr>
          <w:ilvl w:val="0"/>
          <w:numId w:val="16"/>
        </w:numPr>
        <w:spacing w:lineRule="exact" w:line="264" w:before="0" w:after="60"/>
        <w:rPr/>
      </w:pPr>
      <w:r>
        <w:rPr>
          <w:rFonts w:eastAsia="Arial" w:cs="Arial"/>
          <w:b/>
          <w:bCs/>
          <w:i w:val="false"/>
          <w:iCs w:val="false"/>
          <w:color w:val="222222"/>
          <w:sz w:val="20"/>
          <w:szCs w:val="20"/>
        </w:rPr>
        <w:t xml:space="preserve">Étape 4 — Complétez le socle réglementaire local </w:t>
      </w:r>
      <w:r>
        <w:rPr>
          <w:rFonts w:eastAsia="Arial" w:cs="Arial"/>
          <w:b w:val="false"/>
          <w:bCs w:val="false"/>
          <w:i w:val="false"/>
          <w:iCs w:val="false"/>
          <w:color w:val="222222"/>
          <w:sz w:val="20"/>
          <w:szCs w:val="20"/>
        </w:rPr>
        <w:t>dans le registre des exigences légales (le socle international OIT est pré-rempli).</w:t>
      </w:r>
    </w:p>
    <w:p>
      <w:pPr>
        <w:pStyle w:val="ListParagraph"/>
        <w:numPr>
          <w:ilvl w:val="0"/>
          <w:numId w:val="17"/>
        </w:numPr>
        <w:spacing w:lineRule="exact" w:line="264" w:before="0" w:after="60"/>
        <w:rPr/>
      </w:pPr>
      <w:r>
        <w:rPr>
          <w:rFonts w:eastAsia="Arial" w:cs="Arial"/>
          <w:b/>
          <w:bCs/>
          <w:i w:val="false"/>
          <w:iCs w:val="false"/>
          <w:color w:val="222222"/>
          <w:sz w:val="20"/>
          <w:szCs w:val="20"/>
        </w:rPr>
        <w:t>Étape 5 — Mettez à jour les sommaires et, si besoin, les logigrammes (guide GUI-SST-003).</w:t>
      </w:r>
    </w:p>
    <w:p>
      <w:pPr>
        <w:pStyle w:val="Heading1"/>
        <w:pBdr>
          <w:bottom w:val="single" w:sz="12" w:space="4" w:color="4F9B3E"/>
        </w:pBdr>
        <w:spacing w:before="260" w:after="140"/>
        <w:rPr/>
      </w:pPr>
      <w:r>
        <w:rPr>
          <w:rFonts w:eastAsia="Arial" w:cs="Arial" w:ascii="Arial" w:hAnsi="Arial"/>
          <w:b/>
          <w:bCs/>
          <w:color w:val="1F4E79"/>
          <w:sz w:val="28"/>
          <w:szCs w:val="28"/>
        </w:rPr>
        <w:t>6. Ordre de déploiement recommandé (PDCA)</w:t>
      </w:r>
    </w:p>
    <w:p>
      <w:pPr>
        <w:pStyle w:val="Normal"/>
        <w:spacing w:lineRule="exact" w:line="276" w:before="0" w:after="120"/>
        <w:jc w:val="both"/>
        <w:rPr/>
      </w:pPr>
      <w:r>
        <w:rPr>
          <w:rFonts w:eastAsia="Arial" w:cs="Arial"/>
          <w:b w:val="false"/>
          <w:bCs w:val="false"/>
          <w:i w:val="false"/>
          <w:iCs w:val="false"/>
          <w:color w:val="222222"/>
          <w:sz w:val="20"/>
          <w:szCs w:val="20"/>
        </w:rPr>
        <w:t>Le système suit le cycle Plan-Do-Check-Act. Nous recommandons de le déployer dans cet ordre :</w:t>
      </w:r>
    </w:p>
    <w:tbl>
      <w:tblPr>
        <w:tblW w:w="9026" w:type="dxa"/>
        <w:jc w:val="left"/>
        <w:tblInd w:w="0" w:type="dxa"/>
        <w:tblLayout w:type="fixed"/>
        <w:tblCellMar>
          <w:top w:w="60" w:type="dxa"/>
          <w:left w:w="100" w:type="dxa"/>
          <w:bottom w:w="60" w:type="dxa"/>
          <w:right w:w="100" w:type="dxa"/>
        </w:tblCellMar>
      </w:tblPr>
      <w:tblGrid>
        <w:gridCol w:w="1500"/>
        <w:gridCol w:w="3523"/>
        <w:gridCol w:w="4003"/>
      </w:tblGrid>
      <w:tr>
        <w:trPr>
          <w:tblHeader w:val="true"/>
        </w:trPr>
        <w:tc>
          <w:tcPr>
            <w:tcW w:w="1500" w:type="dxa"/>
            <w:tcBorders>
              <w:top w:val="single" w:sz="2" w:space="0" w:color="BFBFBF"/>
              <w:left w:val="single" w:sz="2" w:space="0" w:color="BFBFBF"/>
              <w:bottom w:val="single" w:sz="2" w:space="0" w:color="D9D9D9"/>
              <w:right w:val="single" w:sz="2" w:space="0" w:color="D9D9D9"/>
            </w:tcBorders>
            <w:shd w:fill="1F4E79" w:val="clear"/>
            <w:vAlign w:val="center"/>
          </w:tcPr>
          <w:p>
            <w:pPr>
              <w:pStyle w:val="Normal"/>
              <w:spacing w:lineRule="exact" w:line="252" w:before="0" w:after="0"/>
              <w:jc w:val="left"/>
              <w:rPr/>
            </w:pPr>
            <w:r>
              <w:rPr>
                <w:rFonts w:eastAsia="Arial" w:cs="Arial"/>
                <w:b/>
                <w:bCs/>
                <w:color w:val="FFFFFF"/>
                <w:sz w:val="19"/>
                <w:szCs w:val="19"/>
              </w:rPr>
              <w:t>Phase PDCA</w:t>
            </w:r>
          </w:p>
        </w:tc>
        <w:tc>
          <w:tcPr>
            <w:tcW w:w="3523" w:type="dxa"/>
            <w:tcBorders>
              <w:top w:val="single" w:sz="2" w:space="0" w:color="BFBFBF"/>
              <w:left w:val="single" w:sz="2" w:space="0" w:color="D9D9D9"/>
              <w:bottom w:val="single" w:sz="2" w:space="0" w:color="D9D9D9"/>
              <w:right w:val="single" w:sz="2" w:space="0" w:color="D9D9D9"/>
            </w:tcBorders>
            <w:shd w:fill="1F4E79" w:val="clear"/>
            <w:vAlign w:val="center"/>
          </w:tcPr>
          <w:p>
            <w:pPr>
              <w:pStyle w:val="Normal"/>
              <w:spacing w:lineRule="exact" w:line="252" w:before="0" w:after="0"/>
              <w:jc w:val="left"/>
              <w:rPr/>
            </w:pPr>
            <w:r>
              <w:rPr>
                <w:rFonts w:eastAsia="Arial" w:cs="Arial"/>
                <w:b/>
                <w:bCs/>
                <w:color w:val="FFFFFF"/>
                <w:sz w:val="19"/>
                <w:szCs w:val="19"/>
              </w:rPr>
              <w:t>Priorités</w:t>
            </w:r>
          </w:p>
        </w:tc>
        <w:tc>
          <w:tcPr>
            <w:tcW w:w="4003" w:type="dxa"/>
            <w:tcBorders>
              <w:top w:val="single" w:sz="2" w:space="0" w:color="BFBFBF"/>
              <w:left w:val="single" w:sz="2" w:space="0" w:color="D9D9D9"/>
              <w:bottom w:val="single" w:sz="2" w:space="0" w:color="D9D9D9"/>
              <w:right w:val="single" w:sz="2" w:space="0" w:color="BFBFBF"/>
            </w:tcBorders>
            <w:shd w:fill="1F4E79" w:val="clear"/>
            <w:vAlign w:val="center"/>
          </w:tcPr>
          <w:p>
            <w:pPr>
              <w:pStyle w:val="Normal"/>
              <w:spacing w:lineRule="exact" w:line="252" w:before="0" w:after="0"/>
              <w:jc w:val="left"/>
              <w:rPr/>
            </w:pPr>
            <w:r>
              <w:rPr>
                <w:rFonts w:eastAsia="Arial" w:cs="Arial"/>
                <w:b/>
                <w:bCs/>
                <w:color w:val="FFFFFF"/>
                <w:sz w:val="19"/>
                <w:szCs w:val="19"/>
              </w:rPr>
              <w:t>Livrables clés</w:t>
            </w:r>
          </w:p>
        </w:tc>
      </w:tr>
      <w:tr>
        <w:trPr/>
        <w:tc>
          <w:tcPr>
            <w:tcW w:w="1500" w:type="dxa"/>
            <w:tcBorders>
              <w:top w:val="single" w:sz="2" w:space="0" w:color="D9D9D9"/>
              <w:left w:val="single" w:sz="2" w:space="0" w:color="BFBFBF"/>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PLAN</w:t>
            </w:r>
          </w:p>
        </w:tc>
        <w:tc>
          <w:tcPr>
            <w:tcW w:w="3523" w:type="dxa"/>
            <w:tcBorders>
              <w:top w:val="single" w:sz="2" w:space="0" w:color="D9D9D9"/>
              <w:left w:val="single" w:sz="2" w:space="0" w:color="D9D9D9"/>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Fixer le cap et cartographier les risques</w:t>
            </w:r>
          </w:p>
        </w:tc>
        <w:tc>
          <w:tcPr>
            <w:tcW w:w="4003" w:type="dxa"/>
            <w:tcBorders>
              <w:top w:val="single" w:sz="2" w:space="0" w:color="D9D9D9"/>
              <w:left w:val="single" w:sz="2" w:space="0" w:color="D9D9D9"/>
              <w:bottom w:val="single" w:sz="2" w:space="0" w:color="D9D9D9"/>
              <w:right w:val="single" w:sz="2" w:space="0" w:color="BFBFBF"/>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Politique SST, contexte, IPER + cotation, objectifs</w:t>
            </w:r>
          </w:p>
        </w:tc>
      </w:tr>
      <w:tr>
        <w:trPr/>
        <w:tc>
          <w:tcPr>
            <w:tcW w:w="1500" w:type="dxa"/>
            <w:tcBorders>
              <w:top w:val="single" w:sz="2" w:space="0" w:color="D9D9D9"/>
              <w:left w:val="single" w:sz="2" w:space="0" w:color="BFBFBF"/>
              <w:bottom w:val="single" w:sz="2" w:space="0" w:color="D9D9D9"/>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DO</w:t>
            </w:r>
          </w:p>
        </w:tc>
        <w:tc>
          <w:tcPr>
            <w:tcW w:w="3523" w:type="dxa"/>
            <w:tcBorders>
              <w:top w:val="single" w:sz="2" w:space="0" w:color="D9D9D9"/>
              <w:left w:val="single" w:sz="2" w:space="0" w:color="D9D9D9"/>
              <w:bottom w:val="single" w:sz="2" w:space="0" w:color="D9D9D9"/>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Mettre sous contrôle les opérations</w:t>
            </w:r>
          </w:p>
        </w:tc>
        <w:tc>
          <w:tcPr>
            <w:tcW w:w="4003" w:type="dxa"/>
            <w:tcBorders>
              <w:top w:val="single" w:sz="2" w:space="0" w:color="D9D9D9"/>
              <w:left w:val="single" w:sz="2" w:space="0" w:color="D9D9D9"/>
              <w:bottom w:val="single" w:sz="2" w:space="0" w:color="D9D9D9"/>
              <w:right w:val="single" w:sz="2" w:space="0" w:color="BFBFBF"/>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Maîtrise opérationnelle, permis, urgences, consultation</w:t>
            </w:r>
          </w:p>
        </w:tc>
      </w:tr>
      <w:tr>
        <w:trPr/>
        <w:tc>
          <w:tcPr>
            <w:tcW w:w="1500" w:type="dxa"/>
            <w:tcBorders>
              <w:top w:val="single" w:sz="2" w:space="0" w:color="D9D9D9"/>
              <w:left w:val="single" w:sz="2" w:space="0" w:color="BFBFBF"/>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CHECK</w:t>
            </w:r>
          </w:p>
        </w:tc>
        <w:tc>
          <w:tcPr>
            <w:tcW w:w="3523" w:type="dxa"/>
            <w:tcBorders>
              <w:top w:val="single" w:sz="2" w:space="0" w:color="D9D9D9"/>
              <w:left w:val="single" w:sz="2" w:space="0" w:color="D9D9D9"/>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Mesurer et auditer</w:t>
            </w:r>
          </w:p>
        </w:tc>
        <w:tc>
          <w:tcPr>
            <w:tcW w:w="4003" w:type="dxa"/>
            <w:tcBorders>
              <w:top w:val="single" w:sz="2" w:space="0" w:color="D9D9D9"/>
              <w:left w:val="single" w:sz="2" w:space="0" w:color="D9D9D9"/>
              <w:bottom w:val="single" w:sz="2" w:space="0" w:color="D9D9D9"/>
              <w:right w:val="single" w:sz="2" w:space="0" w:color="BFBFBF"/>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Tableau de bord SST (TF/TG), audit interne, conformité</w:t>
            </w:r>
          </w:p>
        </w:tc>
      </w:tr>
      <w:tr>
        <w:trPr/>
        <w:tc>
          <w:tcPr>
            <w:tcW w:w="1500" w:type="dxa"/>
            <w:tcBorders>
              <w:top w:val="single" w:sz="2" w:space="0" w:color="D9D9D9"/>
              <w:left w:val="single" w:sz="2" w:space="0" w:color="BFBFBF"/>
              <w:bottom w:val="single" w:sz="2" w:space="0" w:color="BFBFBF"/>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ACT</w:t>
            </w:r>
          </w:p>
        </w:tc>
        <w:tc>
          <w:tcPr>
            <w:tcW w:w="3523" w:type="dxa"/>
            <w:tcBorders>
              <w:top w:val="single" w:sz="2" w:space="0" w:color="D9D9D9"/>
              <w:left w:val="single" w:sz="2" w:space="0" w:color="D9D9D9"/>
              <w:bottom w:val="single" w:sz="2" w:space="0" w:color="BFBFBF"/>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Corriger et améliorer</w:t>
            </w:r>
          </w:p>
        </w:tc>
        <w:tc>
          <w:tcPr>
            <w:tcW w:w="4003" w:type="dxa"/>
            <w:tcBorders>
              <w:top w:val="single" w:sz="2" w:space="0" w:color="D9D9D9"/>
              <w:left w:val="single" w:sz="2" w:space="0" w:color="D9D9D9"/>
              <w:bottom w:val="single" w:sz="2" w:space="0" w:color="BFBFBF"/>
              <w:right w:val="single" w:sz="2" w:space="0" w:color="BFBFBF"/>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Enquêtes d'incident, actions correctives, revue de direction</w:t>
            </w:r>
          </w:p>
        </w:tc>
      </w:tr>
    </w:tbl>
    <w:p>
      <w:pPr>
        <w:pStyle w:val="Normal"/>
        <w:pBdr>
          <w:top w:val="single" w:sz="6" w:space="0" w:color="F5A623"/>
          <w:left w:val="single" w:sz="18" w:space="0" w:color="F5A623"/>
          <w:bottom w:val="single" w:sz="6" w:space="0" w:color="F5A623"/>
          <w:right w:val="single" w:sz="6" w:space="0" w:color="F5A623"/>
        </w:pBdr>
        <w:shd w:val="clear" w:fill="FDF0D5"/>
        <w:spacing w:before="60" w:after="120"/>
        <w:rPr/>
      </w:pPr>
      <w:r>
        <w:rPr>
          <w:rFonts w:eastAsia="Arial" w:cs="Arial"/>
          <w:b/>
          <w:bCs/>
          <w:color w:val="8A5A00"/>
          <w:sz w:val="19"/>
          <w:szCs w:val="19"/>
        </w:rPr>
        <w:t xml:space="preserve">⚑  </w:t>
      </w:r>
      <w:r>
        <w:rPr>
          <w:rFonts w:eastAsia="Arial" w:cs="Arial"/>
          <w:b/>
          <w:bCs/>
          <w:color w:val="8A5A00"/>
          <w:sz w:val="19"/>
          <w:szCs w:val="19"/>
        </w:rPr>
        <w:t>L'auditeur de certification demandera un historique (souvent 12 mois) d'indicateurs et d'enregistrements. Mettez en place le tableau de bord SST et les registres dès la personnalisation, pas la veille de l'audit.</w:t>
      </w:r>
    </w:p>
    <w:p>
      <w:pPr>
        <w:pStyle w:val="Heading1"/>
        <w:pBdr>
          <w:bottom w:val="single" w:sz="12" w:space="4" w:color="4F9B3E"/>
        </w:pBdr>
        <w:spacing w:before="260" w:after="140"/>
        <w:rPr/>
      </w:pPr>
      <w:r>
        <w:rPr>
          <w:rFonts w:eastAsia="Arial" w:cs="Arial" w:ascii="Arial" w:hAnsi="Arial"/>
          <w:b/>
          <w:bCs/>
          <w:color w:val="1F4E79"/>
          <w:sz w:val="28"/>
          <w:szCs w:val="28"/>
        </w:rPr>
        <w:t>7. Principe lean &amp; portée internationale</w:t>
      </w:r>
    </w:p>
    <w:p>
      <w:pPr>
        <w:pStyle w:val="Normal"/>
        <w:spacing w:lineRule="exact" w:line="276" w:before="0" w:after="120"/>
        <w:jc w:val="both"/>
        <w:rPr/>
      </w:pPr>
      <w:r>
        <w:rPr>
          <w:rFonts w:eastAsia="Arial" w:cs="Arial"/>
          <w:b w:val="false"/>
          <w:bCs w:val="false"/>
          <w:i w:val="false"/>
          <w:iCs w:val="false"/>
          <w:color w:val="222222"/>
          <w:sz w:val="20"/>
          <w:szCs w:val="20"/>
        </w:rPr>
        <w:t>Ce système est volontairement léger : un formulaire répond à un besoin réel, jamais à une contrainte bureaucratique. Il est international par conception.</w:t>
      </w:r>
    </w:p>
    <w:p>
      <w:pPr>
        <w:pStyle w:val="ListParagraph"/>
        <w:numPr>
          <w:ilvl w:val="0"/>
          <w:numId w:val="18"/>
        </w:numPr>
        <w:spacing w:lineRule="exact" w:line="264" w:before="0" w:after="60"/>
        <w:rPr/>
      </w:pPr>
      <w:r>
        <w:rPr>
          <w:rFonts w:eastAsia="Arial" w:cs="Arial"/>
          <w:b/>
          <w:bCs/>
          <w:i w:val="false"/>
          <w:iCs w:val="false"/>
          <w:color w:val="222222"/>
          <w:sz w:val="20"/>
          <w:szCs w:val="20"/>
        </w:rPr>
        <w:t>Aucune exigence nationale n'est rédigée en dur.</w:t>
      </w:r>
      <w:r>
        <w:rPr>
          <w:rFonts w:eastAsia="Arial" w:cs="Arial"/>
          <w:b w:val="false"/>
          <w:bCs w:val="false"/>
          <w:i w:val="false"/>
          <w:iCs w:val="false"/>
          <w:color w:val="222222"/>
          <w:sz w:val="20"/>
          <w:szCs w:val="20"/>
        </w:rPr>
        <w:t xml:space="preserve"> La documentation de conformité s'appuie sur le socle international (conventions OIT C155 et C187, principes des directives ILO-OSH 2001, hiérarchie des mesures de prévention).</w:t>
      </w:r>
    </w:p>
    <w:p>
      <w:pPr>
        <w:pStyle w:val="ListParagraph"/>
        <w:numPr>
          <w:ilvl w:val="0"/>
          <w:numId w:val="19"/>
        </w:numPr>
        <w:spacing w:lineRule="exact" w:line="264" w:before="0" w:after="60"/>
        <w:rPr/>
      </w:pPr>
      <w:r>
        <w:rPr>
          <w:rFonts w:eastAsia="Arial" w:cs="Arial"/>
          <w:b/>
          <w:bCs/>
          <w:i w:val="false"/>
          <w:iCs w:val="false"/>
          <w:color w:val="222222"/>
          <w:sz w:val="20"/>
          <w:szCs w:val="20"/>
        </w:rPr>
        <w:t>Les obligations locales sont laissées en placeholders.</w:t>
      </w:r>
      <w:r>
        <w:rPr>
          <w:rFonts w:eastAsia="Arial" w:cs="Arial"/>
          <w:b w:val="false"/>
          <w:bCs w:val="false"/>
          <w:i w:val="false"/>
          <w:iCs w:val="false"/>
          <w:color w:val="222222"/>
          <w:sz w:val="20"/>
          <w:szCs w:val="20"/>
        </w:rPr>
        <w:t xml:space="preserve"> Le registre des exigences légales est une matrice à compléter par vos soins avec le droit applicable dans votre pays.</w:t>
      </w:r>
    </w:p>
    <w:p>
      <w:pPr>
        <w:pStyle w:val="ListParagraph"/>
        <w:numPr>
          <w:ilvl w:val="0"/>
          <w:numId w:val="20"/>
        </w:numPr>
        <w:spacing w:lineRule="exact" w:line="264" w:before="0" w:after="60"/>
        <w:rPr/>
      </w:pPr>
      <w:r>
        <w:rPr>
          <w:rFonts w:eastAsia="Arial" w:cs="Arial"/>
          <w:b/>
          <w:bCs/>
          <w:i w:val="false"/>
          <w:iCs w:val="false"/>
          <w:color w:val="222222"/>
          <w:sz w:val="20"/>
          <w:szCs w:val="20"/>
        </w:rPr>
        <w:t>Tout est modulaire.</w:t>
      </w:r>
      <w:r>
        <w:rPr>
          <w:rFonts w:eastAsia="Arial" w:cs="Arial"/>
          <w:b w:val="false"/>
          <w:bCs w:val="false"/>
          <w:i w:val="false"/>
          <w:iCs w:val="false"/>
          <w:color w:val="222222"/>
          <w:sz w:val="20"/>
          <w:szCs w:val="20"/>
        </w:rPr>
        <w:t xml:space="preserve"> Un document inutile à votre contexte se désactive sans casser l'ensemble.</w:t>
      </w:r>
    </w:p>
    <w:p>
      <w:pPr>
        <w:pStyle w:val="Heading1"/>
        <w:pBdr>
          <w:bottom w:val="single" w:sz="12" w:space="4" w:color="4F9B3E"/>
        </w:pBdr>
        <w:spacing w:before="260" w:after="140"/>
        <w:rPr/>
      </w:pPr>
      <w:r>
        <w:rPr>
          <w:rFonts w:eastAsia="Arial" w:cs="Arial" w:ascii="Arial" w:hAnsi="Arial"/>
          <w:b/>
          <w:bCs/>
          <w:color w:val="1F4E79"/>
          <w:sz w:val="28"/>
          <w:szCs w:val="28"/>
        </w:rPr>
        <w:t>8. Et ensuite ? (so what)</w:t>
      </w:r>
    </w:p>
    <w:p>
      <w:pPr>
        <w:pStyle w:val="Normal"/>
        <w:spacing w:lineRule="exact" w:line="276" w:before="0" w:after="120"/>
        <w:jc w:val="both"/>
        <w:rPr/>
      </w:pPr>
      <w:r>
        <w:rPr>
          <w:rFonts w:eastAsia="Arial" w:cs="Arial"/>
          <w:b w:val="false"/>
          <w:bCs w:val="false"/>
          <w:i w:val="false"/>
          <w:iCs w:val="false"/>
          <w:color w:val="222222"/>
          <w:sz w:val="20"/>
          <w:szCs w:val="20"/>
        </w:rPr>
        <w:t>Une fois la personnalisation faite, vous disposez d'un SMSST cohérent, traçable et prêt pour un audit blanc. Les trois leviers de réussite :</w:t>
      </w:r>
    </w:p>
    <w:p>
      <w:pPr>
        <w:pStyle w:val="ListParagraph"/>
        <w:numPr>
          <w:ilvl w:val="0"/>
          <w:numId w:val="21"/>
        </w:numPr>
        <w:spacing w:lineRule="exact" w:line="264" w:before="0" w:after="60"/>
        <w:rPr/>
      </w:pPr>
      <w:r>
        <w:rPr>
          <w:rFonts w:eastAsia="Arial" w:cs="Arial"/>
          <w:b w:val="false"/>
          <w:bCs w:val="false"/>
          <w:i w:val="false"/>
          <w:iCs w:val="false"/>
          <w:color w:val="222222"/>
          <w:sz w:val="20"/>
          <w:szCs w:val="20"/>
        </w:rPr>
        <w:t>Engagement visible de la direction (§5.1) — sans lui, le système reste théorique.</w:t>
      </w:r>
    </w:p>
    <w:p>
      <w:pPr>
        <w:pStyle w:val="ListParagraph"/>
        <w:numPr>
          <w:ilvl w:val="0"/>
          <w:numId w:val="22"/>
        </w:numPr>
        <w:spacing w:lineRule="exact" w:line="264" w:before="0" w:after="60"/>
        <w:rPr/>
      </w:pPr>
      <w:r>
        <w:rPr>
          <w:rFonts w:eastAsia="Arial" w:cs="Arial"/>
          <w:b w:val="false"/>
          <w:bCs w:val="false"/>
          <w:i w:val="false"/>
          <w:iCs w:val="false"/>
          <w:color w:val="222222"/>
          <w:sz w:val="20"/>
          <w:szCs w:val="20"/>
        </w:rPr>
        <w:t>Consultation réelle des travailleurs (§5.4) — pilier distinctif de l'ISO 45001, à traiter comme tel.</w:t>
      </w:r>
    </w:p>
    <w:p>
      <w:pPr>
        <w:pStyle w:val="ListParagraph"/>
        <w:numPr>
          <w:ilvl w:val="0"/>
          <w:numId w:val="23"/>
        </w:numPr>
        <w:spacing w:lineRule="exact" w:line="264" w:before="0" w:after="60"/>
        <w:rPr/>
      </w:pPr>
      <w:r>
        <w:rPr>
          <w:rFonts w:eastAsia="Arial" w:cs="Arial"/>
          <w:b w:val="false"/>
          <w:bCs w:val="false"/>
          <w:i w:val="false"/>
          <w:iCs w:val="false"/>
          <w:color w:val="222222"/>
          <w:sz w:val="20"/>
          <w:szCs w:val="20"/>
        </w:rPr>
        <w:t>Mesure dès le premier jour — les indicateurs proactifs (remontées de situations dangereuses, causeries, audits) valent autant que les indicateurs d'accidents.</w:t>
      </w:r>
    </w:p>
    <w:p>
      <w:pPr>
        <w:pStyle w:val="Normal"/>
        <w:spacing w:before="160" w:after="0"/>
        <w:rPr/>
      </w:pPr>
      <w:r>
        <w:rPr>
          <w:rFonts w:eastAsia="Arial" w:cs="Arial"/>
          <w:b/>
          <w:bCs/>
          <w:i w:val="false"/>
          <w:iCs w:val="false"/>
          <w:color w:val="1F4E79"/>
          <w:sz w:val="20"/>
          <w:szCs w:val="20"/>
        </w:rPr>
        <w:t>Assistance [Nom organisation] : contact@hem-consulting.com</w:t>
      </w:r>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080" w:right="1080" w:gutter="0" w:header="560" w:top="1500" w:footer="460" w:bottom="120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Arial">
    <w:charset w:val="01"/>
    <w:family w:val="swiss"/>
    <w:pitch w:val="variable"/>
  </w:font>
  <w:font w:name="Liberation Sans">
    <w:altName w:val="Arial"/>
    <w:charset w:val="01"/>
    <w:family w:val="roman"/>
    <w:pitch w:val="variable"/>
  </w:font>
  <w:font w:name="Wingdings">
    <w:charset w:val="02"/>
    <w:family w:val="auto"/>
    <w:pitch w:val="default"/>
  </w:font>
  <w:font w:name="Wingdings 2">
    <w:charset w:val="02"/>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op w:val="single" w:sz="6" w:space="0" w:color="BFBFBF"/>
      </w:pBdr>
      <w:spacing w:before="0" w:after="0"/>
      <w:rPr/>
    </w:pPr>
    <w:r>
      <w:rPr/>
    </w:r>
  </w:p>
  <w:p>
    <w:pPr>
      <w:pStyle w:val="Normal"/>
      <w:tabs>
        <w:tab w:val="clear" w:pos="720"/>
        <w:tab w:val="center" w:pos="4513" w:leader="none"/>
        <w:tab w:val="right" w:pos="9026" w:leader="none"/>
      </w:tabs>
      <w:spacing w:before="40" w:after="0"/>
      <w:jc w:val="center"/>
      <w:rPr/>
    </w:pPr>
    <w:r>
      <w:rPr>
        <w:color w:val="595959"/>
        <w:sz w:val="16"/>
      </w:rPr>
      <w:t>GUI-SST-001-Gui · Confidentiel · hem-consulting.com · Page 6 / 6</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op w:val="single" w:sz="6" w:space="0" w:color="BFBFBF"/>
      </w:pBdr>
      <w:spacing w:before="0" w:after="0"/>
      <w:rPr/>
    </w:pPr>
    <w:r>
      <w:rPr/>
    </w:r>
  </w:p>
  <w:p>
    <w:pPr>
      <w:pStyle w:val="Normal"/>
      <w:tabs>
        <w:tab w:val="clear" w:pos="720"/>
        <w:tab w:val="center" w:pos="4513" w:leader="none"/>
        <w:tab w:val="right" w:pos="9026" w:leader="none"/>
      </w:tabs>
      <w:spacing w:before="40" w:after="0"/>
      <w:jc w:val="center"/>
      <w:rPr/>
    </w:pPr>
    <w:r>
      <w:rPr>
        <w:color w:val="595959"/>
        <w:sz w:val="16"/>
      </w:rPr>
      <w:t>GUI-SST-001-Gui · Confidentiel · hem-consulting.com · Page 6 / 6</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026" w:type="dxa"/>
      <w:jc w:val="left"/>
      <w:tblInd w:w="0" w:type="dxa"/>
      <w:tblLayout w:type="fixed"/>
      <w:tblCellMar>
        <w:top w:w="0" w:type="dxa"/>
        <w:left w:w="108" w:type="dxa"/>
        <w:bottom w:w="0" w:type="dxa"/>
        <w:right w:w="108" w:type="dxa"/>
      </w:tblCellMar>
    </w:tblPr>
    <w:tblGrid>
      <w:gridCol w:w="4513"/>
      <w:gridCol w:w="4512"/>
    </w:tblGrid>
    <w:tr>
      <w:trPr/>
      <w:tc>
        <w:tcPr>
          <w:tcW w:w="4513" w:type="dxa"/>
          <w:tcBorders/>
          <w:vAlign w:val="center"/>
        </w:tcPr>
        <w:p>
          <w:pPr>
            <w:pStyle w:val="Normal"/>
            <w:pBdr>
              <w:top w:val="dashed" w:sz="4" w:space="0" w:color="2E75B6"/>
              <w:left w:val="dashed" w:sz="4" w:space="0" w:color="2E75B6"/>
              <w:bottom w:val="dashed" w:sz="4" w:space="0" w:color="2E75B6"/>
              <w:right w:val="dashed" w:sz="4" w:space="0" w:color="2E75B6"/>
            </w:pBdr>
            <w:spacing w:before="0" w:after="0"/>
            <w:jc w:val="left"/>
            <w:rPr/>
          </w:pPr>
          <w:r>
            <w:rPr>
              <w:i/>
              <w:color w:val="595959"/>
              <w:sz w:val="18"/>
            </w:rPr>
            <w:t>[Votre Logo Ici]</w:t>
          </w:r>
        </w:p>
        <w:p>
          <w:pPr>
            <w:pStyle w:val="Normal"/>
            <w:jc w:val="left"/>
            <w:rPr/>
          </w:pPr>
          <w:r>
            <w:rPr>
              <w:i/>
              <w:color w:val="595959"/>
              <w:sz w:val="18"/>
            </w:rPr>
            <w:t>[Nom organisation]</w:t>
          </w:r>
        </w:p>
      </w:tc>
      <w:tc>
        <w:tcPr>
          <w:tcW w:w="4512" w:type="dxa"/>
          <w:tcBorders/>
          <w:vAlign w:val="center"/>
        </w:tcPr>
        <w:p>
          <w:pPr>
            <w:pStyle w:val="Normal"/>
            <w:spacing w:before="0" w:after="0"/>
            <w:jc w:val="right"/>
            <w:rPr/>
          </w:pPr>
          <w:r>
            <w:rPr/>
            <w:drawing>
              <wp:inline distT="0" distB="0" distL="0" distR="0">
                <wp:extent cx="539750" cy="539750"/>
                <wp:effectExtent l="0" t="0" r="0" b="0"/>
                <wp:docPr id="2"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
                        <pic:cNvPicPr>
                          <a:picLocks noChangeAspect="1" noChangeArrowheads="1"/>
                        </pic:cNvPicPr>
                      </pic:nvPicPr>
                      <pic:blipFill>
                        <a:blip r:embed="rId1"/>
                        <a:stretch>
                          <a:fillRect/>
                        </a:stretch>
                      </pic:blipFill>
                      <pic:spPr bwMode="auto">
                        <a:xfrm>
                          <a:off x="0" y="0"/>
                          <a:ext cx="539750" cy="539750"/>
                        </a:xfrm>
                        <a:prstGeom prst="rect">
                          <a:avLst/>
                        </a:prstGeom>
                      </pic:spPr>
                    </pic:pic>
                  </a:graphicData>
                </a:graphic>
              </wp:inline>
            </w:drawing>
          </w:r>
        </w:p>
        <w:p>
          <w:pPr>
            <w:pStyle w:val="Normal"/>
            <w:jc w:val="right"/>
            <w:rPr/>
          </w:pPr>
          <w:r>
            <w:rPr>
              <w:i/>
              <w:color w:val="B0B0B0"/>
              <w:sz w:val="14"/>
            </w:rPr>
            <w:t>Édité par HEMC</w:t>
          </w:r>
        </w:p>
      </w:tc>
    </w:tr>
  </w:tbl>
  <w:p>
    <w:pPr>
      <w:pStyle w:val="Normal"/>
      <w:pBdr>
        <w:bottom w:val="single" w:sz="10" w:space="0" w:color="4F9B3E"/>
      </w:pBdr>
      <w:spacing w:before="40" w:after="0"/>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026" w:type="dxa"/>
      <w:jc w:val="left"/>
      <w:tblInd w:w="0" w:type="dxa"/>
      <w:tblLayout w:type="fixed"/>
      <w:tblCellMar>
        <w:top w:w="0" w:type="dxa"/>
        <w:left w:w="108" w:type="dxa"/>
        <w:bottom w:w="0" w:type="dxa"/>
        <w:right w:w="108" w:type="dxa"/>
      </w:tblCellMar>
    </w:tblPr>
    <w:tblGrid>
      <w:gridCol w:w="4513"/>
      <w:gridCol w:w="4512"/>
    </w:tblGrid>
    <w:tr>
      <w:trPr/>
      <w:tc>
        <w:tcPr>
          <w:tcW w:w="4513" w:type="dxa"/>
          <w:tcBorders/>
          <w:vAlign w:val="center"/>
        </w:tcPr>
        <w:p>
          <w:pPr>
            <w:pStyle w:val="Normal"/>
            <w:pBdr>
              <w:top w:val="dashed" w:sz="4" w:space="0" w:color="2E75B6"/>
              <w:left w:val="dashed" w:sz="4" w:space="0" w:color="2E75B6"/>
              <w:bottom w:val="dashed" w:sz="4" w:space="0" w:color="2E75B6"/>
              <w:right w:val="dashed" w:sz="4" w:space="0" w:color="2E75B6"/>
            </w:pBdr>
            <w:spacing w:before="0" w:after="0"/>
            <w:jc w:val="left"/>
            <w:rPr/>
          </w:pPr>
          <w:r>
            <w:rPr>
              <w:i/>
              <w:color w:val="595959"/>
              <w:sz w:val="18"/>
            </w:rPr>
            <w:t>[Votre Logo Ici]</w:t>
          </w:r>
        </w:p>
        <w:p>
          <w:pPr>
            <w:pStyle w:val="Normal"/>
            <w:jc w:val="left"/>
            <w:rPr/>
          </w:pPr>
          <w:r>
            <w:rPr>
              <w:i/>
              <w:color w:val="595959"/>
              <w:sz w:val="18"/>
            </w:rPr>
            <w:t>[Nom organisation]</w:t>
          </w:r>
        </w:p>
      </w:tc>
      <w:tc>
        <w:tcPr>
          <w:tcW w:w="4512" w:type="dxa"/>
          <w:tcBorders/>
          <w:vAlign w:val="center"/>
        </w:tcPr>
        <w:p>
          <w:pPr>
            <w:pStyle w:val="Normal"/>
            <w:spacing w:before="0" w:after="0"/>
            <w:jc w:val="right"/>
            <w:rPr/>
          </w:pPr>
          <w:r>
            <w:rPr/>
            <w:drawing>
              <wp:inline distT="0" distB="0" distL="0" distR="0">
                <wp:extent cx="539750" cy="539750"/>
                <wp:effectExtent l="0" t="0" r="0" b="0"/>
                <wp:docPr id="3"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
                        <pic:cNvPicPr>
                          <a:picLocks noChangeAspect="1" noChangeArrowheads="1"/>
                        </pic:cNvPicPr>
                      </pic:nvPicPr>
                      <pic:blipFill>
                        <a:blip r:embed="rId1"/>
                        <a:stretch>
                          <a:fillRect/>
                        </a:stretch>
                      </pic:blipFill>
                      <pic:spPr bwMode="auto">
                        <a:xfrm>
                          <a:off x="0" y="0"/>
                          <a:ext cx="539750" cy="539750"/>
                        </a:xfrm>
                        <a:prstGeom prst="rect">
                          <a:avLst/>
                        </a:prstGeom>
                      </pic:spPr>
                    </pic:pic>
                  </a:graphicData>
                </a:graphic>
              </wp:inline>
            </w:drawing>
          </w:r>
        </w:p>
        <w:p>
          <w:pPr>
            <w:pStyle w:val="Normal"/>
            <w:jc w:val="right"/>
            <w:rPr/>
          </w:pPr>
          <w:r>
            <w:rPr>
              <w:i/>
              <w:color w:val="B0B0B0"/>
              <w:sz w:val="14"/>
            </w:rPr>
            <w:t>Édité par HEMC</w:t>
          </w:r>
        </w:p>
      </w:tc>
    </w:tr>
  </w:tbl>
  <w:p>
    <w:pPr>
      <w:pStyle w:val="Normal"/>
      <w:pBdr>
        <w:bottom w:val="single" w:sz="10" w:space="0" w:color="4F9B3E"/>
      </w:pBdr>
      <w:spacing w:before="40" w:after="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
    <w:lvlOverride w:ilvl="0">
      <w:startOverride w:val="1"/>
    </w:lvlOverride>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Arial" w:cs="Arial"/>
        <w:color w:val="222222"/>
        <w:lang w:val="en-US"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Arial" w:hAnsi="Arial" w:eastAsia="Arial" w:cs="Arial"/>
      <w:color w:val="222222"/>
      <w:kern w:val="0"/>
      <w:sz w:val="20"/>
      <w:szCs w:val="20"/>
      <w:lang w:val="en-US" w:eastAsia="zh-CN" w:bidi="hi-IN"/>
    </w:rPr>
  </w:style>
  <w:style w:type="paragraph" w:styleId="Heading1">
    <w:name w:val="Heading 1"/>
    <w:basedOn w:val="Heading"/>
    <w:qFormat/>
    <w:pPr/>
    <w:rPr>
      <w:rFonts w:ascii="Arial" w:hAnsi="Arial" w:eastAsia="Arial" w:cs="Arial"/>
      <w:b/>
      <w:bCs/>
      <w:color w:val="1F4E79"/>
      <w:sz w:val="28"/>
      <w:szCs w:val="28"/>
    </w:rPr>
  </w:style>
  <w:style w:type="paragraph" w:styleId="Heading2">
    <w:name w:val="Heading 2"/>
    <w:basedOn w:val="Heading"/>
    <w:qFormat/>
    <w:pPr/>
    <w:rPr>
      <w:rFonts w:ascii="Arial" w:hAnsi="Arial" w:eastAsia="Arial" w:cs="Arial"/>
      <w:b/>
      <w:bCs/>
      <w:color w:val="2E75B6"/>
      <w:sz w:val="23"/>
      <w:szCs w:val="23"/>
    </w:rPr>
  </w:style>
  <w:style w:type="paragraph" w:styleId="Heading3">
    <w:name w:val="Heading 3"/>
    <w:basedOn w:val="Heading"/>
    <w:qFormat/>
    <w:pPr/>
    <w:rPr>
      <w:color w:val="1F4D78"/>
      <w:sz w:val="24"/>
      <w:szCs w:val="24"/>
    </w:rPr>
  </w:style>
  <w:style w:type="paragraph" w:styleId="Heading4">
    <w:name w:val="Heading 4"/>
    <w:basedOn w:val="Heading"/>
    <w:qFormat/>
    <w:pPr/>
    <w:rPr>
      <w:i/>
      <w:iCs/>
      <w:color w:val="2E74B5"/>
    </w:rPr>
  </w:style>
  <w:style w:type="paragraph" w:styleId="Heading5">
    <w:name w:val="Heading 5"/>
    <w:basedOn w:val="Heading"/>
    <w:qFormat/>
    <w:pPr/>
    <w:rPr>
      <w:color w:val="2E74B5"/>
    </w:rPr>
  </w:style>
  <w:style w:type="paragraph" w:styleId="Heading6">
    <w:name w:val="Heading 6"/>
    <w:basedOn w:val="Heading"/>
    <w:qFormat/>
    <w:pPr/>
    <w:rPr>
      <w:color w:val="1F4D78"/>
    </w:rPr>
  </w:style>
  <w:style w:type="character" w:styleId="Hyperlink">
    <w:name w:val="Hyperlink"/>
    <w:uiPriority w:val="99"/>
    <w:unhideWhenUsed/>
    <w:rPr>
      <w:color w:val="0563C1"/>
      <w:u w:val="single"/>
    </w:rPr>
  </w:style>
  <w:style w:type="character" w:styleId="FootnoteCharacters">
    <w:name w:val="Footnote Characters"/>
    <w:uiPriority w:val="99"/>
    <w:semiHidden/>
    <w:unhideWhenUsed/>
    <w:qFormat/>
    <w:rPr>
      <w:vertAlign w:val="superscript"/>
    </w:rPr>
  </w:style>
  <w:style w:type="character" w:styleId="FootnoteReference">
    <w:name w:val="Footnote Reference"/>
    <w:rPr>
      <w:vertAlign w:val="superscript"/>
    </w:rPr>
  </w:style>
  <w:style w:type="character" w:styleId="FootnoteTextChar">
    <w:name w:val="Footnote Text Char"/>
    <w:link w:val="FootnoteText"/>
    <w:uiPriority w:val="99"/>
    <w:semiHidden/>
    <w:unhideWhenUsed/>
    <w:qFormat/>
    <w:rPr>
      <w:sz w:val="20"/>
      <w:szCs w:val="20"/>
    </w:rPr>
  </w:style>
  <w:style w:type="character" w:styleId="EndnoteCharacters">
    <w:name w:val="Endnote Characters"/>
    <w:uiPriority w:val="99"/>
    <w:semiHidden/>
    <w:unhideWhenUsed/>
    <w:qFormat/>
    <w:rPr>
      <w:vertAlign w:val="superscript"/>
    </w:rPr>
  </w:style>
  <w:style w:type="character" w:styleId="EndnoteReference">
    <w:name w:val="Endnote Reference"/>
    <w:rPr>
      <w:vertAlign w:val="superscript"/>
    </w:rPr>
  </w:style>
  <w:style w:type="character" w:styleId="EndnoteTextChar">
    <w:name w:val="Endnote Text Char"/>
    <w:link w:val="EndnoteText"/>
    <w:uiPriority w:val="99"/>
    <w:semiHidden/>
    <w:unhideWhenUsed/>
    <w:qFormat/>
    <w:rPr>
      <w:sz w:val="20"/>
      <w:szCs w:val="20"/>
    </w:rPr>
  </w:style>
  <w:style w:type="paragraph" w:styleId="Heading">
    <w:name w:val="Heading"/>
    <w:basedOn w:val="Normal"/>
    <w:next w:val="BodyText"/>
    <w:qFormat/>
    <w:pPr>
      <w:keepNext w:val="true"/>
      <w:spacing w:before="240" w:after="120"/>
    </w:pPr>
    <w:rPr>
      <w:rFonts w:ascii="Liberation Sans" w:hAnsi="Liberation Sans" w:eastAsia="Noto Sans CJK SC"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Title">
    <w:name w:val="Title"/>
    <w:basedOn w:val="Heading"/>
    <w:qFormat/>
    <w:pPr/>
    <w:rPr>
      <w:sz w:val="56"/>
      <w:szCs w:val="56"/>
    </w:rPr>
  </w:style>
  <w:style w:type="paragraph" w:styleId="StrongEmphasis">
    <w:name w:val="Strong Emphasis"/>
    <w:qFormat/>
    <w:pPr>
      <w:widowControl/>
      <w:suppressAutoHyphens w:val="true"/>
      <w:bidi w:val="0"/>
      <w:spacing w:before="0" w:after="0"/>
      <w:jc w:val="left"/>
    </w:pPr>
    <w:rPr>
      <w:rFonts w:ascii="Arial" w:hAnsi="Arial" w:eastAsia="Arial" w:cs="Arial"/>
      <w:b/>
      <w:bCs/>
      <w:color w:val="222222"/>
      <w:kern w:val="0"/>
      <w:sz w:val="20"/>
      <w:szCs w:val="20"/>
      <w:lang w:val="en-US" w:eastAsia="zh-CN" w:bidi="hi-IN"/>
    </w:rPr>
  </w:style>
  <w:style w:type="paragraph" w:styleId="ListParagraph">
    <w:name w:val="List Paragraph"/>
    <w:qFormat/>
    <w:pPr>
      <w:widowControl/>
      <w:suppressAutoHyphens w:val="true"/>
      <w:bidi w:val="0"/>
      <w:spacing w:before="0" w:after="0"/>
      <w:jc w:val="left"/>
    </w:pPr>
    <w:rPr>
      <w:rFonts w:ascii="Arial" w:hAnsi="Arial" w:eastAsia="Arial" w:cs="Arial"/>
      <w:color w:val="222222"/>
      <w:kern w:val="0"/>
      <w:sz w:val="20"/>
      <w:szCs w:val="20"/>
      <w:lang w:val="en-US" w:eastAsia="zh-CN" w:bidi="hi-IN"/>
    </w:rPr>
  </w:style>
  <w:style w:type="paragraph" w:styleId="FootnoteText">
    <w:name w:val="Footnote Text"/>
    <w:basedOn w:val="Normal"/>
    <w:link w:val="FootnoteTextChar"/>
    <w:uiPriority w:val="99"/>
    <w:semiHidden/>
    <w:unhideWhenUsed/>
    <w:pPr>
      <w:spacing w:lineRule="auto" w:line="240" w:before="0" w:after="0"/>
    </w:pPr>
    <w:rPr>
      <w:sz w:val="20"/>
      <w:szCs w:val="20"/>
    </w:rPr>
  </w:style>
  <w:style w:type="paragraph" w:styleId="EndnoteText">
    <w:name w:val="Endnote Text"/>
    <w:basedOn w:val="Normal"/>
    <w:link w:val="EndnoteTextChar"/>
    <w:uiPriority w:val="99"/>
    <w:semiHidden/>
    <w:unhideWhenUsed/>
    <w:pPr>
      <w:spacing w:lineRule="auto" w:line="240" w:before="0" w:after="0"/>
    </w:pPr>
    <w:rPr>
      <w:sz w:val="20"/>
      <w:szCs w:val="20"/>
    </w:rPr>
  </w:style>
  <w:style w:type="paragraph" w:styleId="HeaderandFooter">
    <w:name w:val="Header and Footer"/>
    <w:basedOn w:val="Normal"/>
    <w:qFormat/>
    <w:pPr/>
    <w:rPr/>
  </w:style>
  <w:style w:type="paragraph" w:styleId="Header">
    <w:name w:val="Header"/>
    <w:basedOn w:val="HeaderandFooter"/>
    <w:pPr/>
    <w:rPr/>
  </w:style>
  <w:style w:type="paragraph" w:styleId="Footer">
    <w:name w:val="Footer"/>
    <w:basedOn w:val="HeaderandFooter"/>
    <w:pPr/>
    <w:rPr/>
  </w:style>
  <w:style w:type="paragraph" w:styleId="IndexHeading">
    <w:name w:val="Index Heading"/>
    <w:basedOn w:val="Heading"/>
    <w:pPr/>
    <w:rPr/>
  </w:style>
  <w:style w:type="paragraph" w:styleId="TOCHeading">
    <w:name w:val="TOC Heading"/>
    <w:basedOn w:val="IndexHeading"/>
    <w:qFormat/>
    <w:pPr/>
    <w:rPr/>
  </w:style>
  <w:style w:type="paragraph" w:styleId="TOC1">
    <w:name w:val="TOC 1"/>
    <w:basedOn w:val="Index"/>
    <w:pPr/>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LibreOffice/24.2.7.2$Linux_X86_64 LibreOffice_project/420$Build-2</Application>
  <AppVersion>15.0000</AppVersion>
  <Pages>6</Pages>
  <Words>1140</Words>
  <Characters>6764</Characters>
  <CharactersWithSpaces>7743</CharactersWithSpaces>
  <Paragraphs>198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2026-07-09T16:05:54Z</dcterms:created>
  <dc:creator>Hub Engineering Management Consulting</dc:creator>
  <dc:description>Ce guide présente le contenu, la logique et la mise en œuvre du système documentaire SMSST HEMC conforme à l'ISO 45001:2018. Il s'adresse au responsable SST de l'organisme acheteur et à toute personne chargée de déployer le système. Il ne contient aucune exigence propre à une législation nationale : le système est international par conception, les obligations locales étant laissées en zones à compléter.</dc:description>
  <dc:language>en-US</dc:language>
  <cp:lastModifiedBy>Hub Engineering Management Consulting</cp:lastModifiedBy>
  <dcterms:modified xsi:type="dcterms:W3CDTF">2026-07-13T14:04:57Z</dcterms:modified>
  <cp:revision>4</cp:revision>
  <dc:subject/>
  <dc:title>Guide d'utilisation du système SMSST</dc:title>
</cp:coreProperties>
</file>

<file path=docProps/custom.xml><?xml version="1.0" encoding="utf-8"?>
<Properties xmlns="http://schemas.openxmlformats.org/officeDocument/2006/custom-properties" xmlns:vt="http://schemas.openxmlformats.org/officeDocument/2006/docPropsVTypes"/>
</file>