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500" w:after="0"/>
        <w:jc w:val="center"/>
        <w:rPr/>
      </w:pPr>
      <w:r>
        <w:rPr/>
        <w:drawing>
          <wp:inline distT="0" distB="0" distL="0" distR="0">
            <wp:extent cx="914400" cy="91440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914400" cy="914400"/>
                    </a:xfrm>
                    <a:prstGeom prst="rect">
                      <a:avLst/>
                    </a:prstGeom>
                  </pic:spPr>
                </pic:pic>
              </a:graphicData>
            </a:graphic>
          </wp:inline>
        </w:drawing>
      </w:r>
    </w:p>
    <w:p>
      <w:pPr>
        <w:pStyle w:val="Normal"/>
        <w:spacing w:before="0" w:after="40"/>
        <w:jc w:val="center"/>
        <w:rPr/>
      </w:pPr>
      <w:r>
        <w:rPr>
          <w:rFonts w:eastAsia="Arial" w:cs="Arial"/>
          <w:b/>
          <w:bCs/>
          <w:color w:val="1F4E79"/>
          <w:sz w:val="24"/>
          <w:szCs w:val="24"/>
        </w:rPr>
        <w:t>[Nom organisation]</w:t>
      </w:r>
    </w:p>
    <w:p>
      <w:pPr>
        <w:pStyle w:val="Normal"/>
        <w:spacing w:before="0" w:after="360"/>
        <w:jc w:val="center"/>
        <w:rPr/>
      </w:pPr>
      <w:r>
        <w:rPr>
          <w:rFonts w:eastAsia="Arial" w:cs="Arial"/>
          <w:i/>
          <w:iCs/>
          <w:color w:val="2E75B6"/>
          <w:sz w:val="18"/>
          <w:szCs w:val="18"/>
        </w:rPr>
        <w:t>Système de Management de la Santé et de la Sécurité au Travail — ISO 45001:2018</w:t>
      </w:r>
    </w:p>
    <w:p>
      <w:pPr>
        <w:pStyle w:val="Normal"/>
        <w:shd w:val="clear" w:fill="1F4E79"/>
        <w:spacing w:before="200" w:after="0"/>
        <w:jc w:val="center"/>
        <w:rPr/>
      </w:pPr>
      <w:r>
        <w:rPr>
          <w:rFonts w:eastAsia="Arial" w:cs="Arial"/>
          <w:b/>
          <w:bCs/>
          <w:color w:val="FFFFFF"/>
          <w:sz w:val="20"/>
          <w:szCs w:val="20"/>
        </w:rPr>
        <w:br/>
        <w:t xml:space="preserve"> CARTOGRAPHIE </w:t>
      </w:r>
      <w:r>
        <w:rPr/>
        <w:br/>
      </w:r>
    </w:p>
    <w:p>
      <w:pPr>
        <w:pStyle w:val="Normal"/>
        <w:shd w:val="clear" w:fill="1F4E79"/>
        <w:spacing w:before="0" w:after="40"/>
        <w:jc w:val="center"/>
        <w:rPr/>
      </w:pPr>
      <w:r>
        <w:rPr>
          <w:rFonts w:eastAsia="Arial" w:cs="Arial"/>
          <w:b/>
          <w:bCs/>
          <w:color w:val="FFFFFF"/>
          <w:sz w:val="34"/>
          <w:szCs w:val="34"/>
        </w:rPr>
        <w:t>Cartographie des processus SMSST</w:t>
      </w:r>
      <w:r>
        <w:rPr/>
        <w:br/>
      </w:r>
    </w:p>
    <w:p>
      <w:pPr>
        <w:pStyle w:val="Normal"/>
        <w:spacing w:before="160" w:after="400"/>
        <w:jc w:val="center"/>
        <w:rPr/>
      </w:pPr>
      <w:r>
        <w:rPr>
          <w:rFonts w:eastAsia="Arial" w:cs="Arial"/>
          <w:color w:val="595959"/>
          <w:sz w:val="20"/>
          <w:szCs w:val="20"/>
        </w:rPr>
        <w:t>Vue d'ensemble et interactions — ISO 45001 §4.4 (10 processus métier)</w:t>
      </w:r>
    </w:p>
    <w:p>
      <w:pPr>
        <w:pStyle w:val="Normal"/>
        <w:spacing w:before="200" w:after="20"/>
        <w:jc w:val="center"/>
        <w:rPr/>
      </w:pPr>
      <w:r>
        <w:rPr>
          <w:rFonts w:eastAsia="Arial" w:cs="Arial"/>
          <w:b/>
          <w:bCs/>
          <w:color w:val="1F4E79"/>
          <w:sz w:val="20"/>
          <w:szCs w:val="20"/>
        </w:rPr>
        <w:t>Organisme :</w:t>
      </w:r>
    </w:p>
    <w:p>
      <w:pPr>
        <w:pStyle w:val="Normal"/>
        <w:pBdr>
          <w:top w:val="dashed" w:sz="4" w:space="0" w:color="2E75B6"/>
          <w:left w:val="dashed" w:sz="4" w:space="0" w:color="2E75B6"/>
          <w:bottom w:val="dashed" w:sz="4" w:space="0" w:color="2E75B6"/>
          <w:right w:val="dashed" w:sz="4" w:space="0" w:color="2E75B6"/>
        </w:pBdr>
        <w:spacing w:before="0" w:after="10"/>
        <w:jc w:val="center"/>
        <w:rPr/>
      </w:pPr>
      <w:r>
        <w:rPr>
          <w:rFonts w:eastAsia="Arial" w:cs="Arial"/>
          <w:b/>
          <w:bCs/>
          <w:color w:val="2E75B6"/>
          <w:sz w:val="20"/>
          <w:szCs w:val="20"/>
        </w:rPr>
        <w:t xml:space="preserve">  </w:t>
      </w:r>
      <w:r>
        <w:rPr>
          <w:rFonts w:eastAsia="Arial" w:cs="Arial"/>
          <w:b/>
          <w:bCs/>
          <w:color w:val="2E75B6"/>
          <w:sz w:val="20"/>
          <w:szCs w:val="20"/>
        </w:rPr>
        <w:t xml:space="preserve">[LOGO CLIENT]        [NOM DE L'ORGANISME]  </w:t>
      </w:r>
    </w:p>
    <w:p>
      <w:pPr>
        <w:pStyle w:val="Normal"/>
        <w:spacing w:before="500" w:after="0"/>
        <w:jc w:val="center"/>
        <w:rPr/>
      </w:pPr>
      <w:r>
        <w:rPr>
          <w:rFonts w:eastAsia="Arial" w:cs="Arial"/>
          <w:color w:val="595959"/>
          <w:sz w:val="18"/>
          <w:szCs w:val="18"/>
        </w:rPr>
        <w:t>CAR-SST-001   ·   Version 1.1   ·   Juillet 2026</w:t>
      </w:r>
    </w:p>
    <w:p>
      <w:pPr>
        <w:pStyle w:val="Normal"/>
        <w:rPr/>
      </w:pPr>
      <w:r>
        <w:rPr/>
      </w:r>
    </w:p>
    <w:p>
      <w:pPr>
        <w:pStyle w:val="Normal"/>
        <w:rPr/>
      </w:pPr>
      <w:r>
        <w:rPr/>
      </w:r>
      <w:r>
        <w:br w:type="page"/>
      </w:r>
    </w:p>
    <w:p>
      <w:pPr>
        <w:pStyle w:val="Normal"/>
        <w:pBdr>
          <w:bottom w:val="single" w:sz="12" w:space="4" w:color="4F9B3E"/>
        </w:pBdr>
        <w:spacing w:before="0" w:after="140"/>
        <w:rPr/>
      </w:pPr>
      <w:r>
        <w:rPr>
          <w:rFonts w:eastAsia="Arial" w:cs="Arial"/>
          <w:b/>
          <w:bCs/>
          <w:color w:val="1F4E79"/>
          <w:sz w:val="28"/>
          <w:szCs w:val="28"/>
        </w:rPr>
        <w:t>Contrôle documentaire</w:t>
      </w:r>
    </w:p>
    <w:p>
      <w:pPr>
        <w:pStyle w:val="Normal"/>
        <w:spacing w:before="180" w:after="90"/>
        <w:rPr/>
      </w:pPr>
      <w:r>
        <w:rPr>
          <w:rFonts w:eastAsia="Arial" w:cs="Arial"/>
          <w:b/>
          <w:bCs/>
          <w:color w:val="2E75B6"/>
          <w:sz w:val="23"/>
          <w:szCs w:val="23"/>
        </w:rPr>
        <w:t>Cartouche</w:t>
      </w:r>
    </w:p>
    <w:tbl>
      <w:tblPr>
        <w:tblW w:w="9026" w:type="dxa"/>
        <w:jc w:val="left"/>
        <w:tblInd w:w="0" w:type="dxa"/>
        <w:tblLayout w:type="fixed"/>
        <w:tblCellMar>
          <w:top w:w="60" w:type="dxa"/>
          <w:left w:w="100" w:type="dxa"/>
          <w:bottom w:w="60" w:type="dxa"/>
          <w:right w:w="100" w:type="dxa"/>
        </w:tblCellMar>
      </w:tblPr>
      <w:tblGrid>
        <w:gridCol w:w="2100"/>
        <w:gridCol w:w="900"/>
        <w:gridCol w:w="1150"/>
        <w:gridCol w:w="1651"/>
        <w:gridCol w:w="1612"/>
        <w:gridCol w:w="1612"/>
      </w:tblGrid>
      <w:tr>
        <w:trPr>
          <w:tblHeader w:val="true"/>
        </w:trPr>
        <w:tc>
          <w:tcPr>
            <w:tcW w:w="2100" w:type="dxa"/>
            <w:tcBorders>
              <w:top w:val="single" w:sz="2" w:space="0" w:color="BFBFBF"/>
              <w:left w:val="single" w:sz="2" w:space="0" w:color="BFBFBF"/>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Code</w:t>
            </w:r>
          </w:p>
        </w:tc>
        <w:tc>
          <w:tcPr>
            <w:tcW w:w="900"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Version</w:t>
            </w:r>
          </w:p>
        </w:tc>
        <w:tc>
          <w:tcPr>
            <w:tcW w:w="1150"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Date</w:t>
            </w:r>
          </w:p>
        </w:tc>
        <w:tc>
          <w:tcPr>
            <w:tcW w:w="1651"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Créateur</w:t>
            </w:r>
          </w:p>
        </w:tc>
        <w:tc>
          <w:tcPr>
            <w:tcW w:w="1612"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Vérificateur</w:t>
            </w:r>
          </w:p>
        </w:tc>
        <w:tc>
          <w:tcPr>
            <w:tcW w:w="1612" w:type="dxa"/>
            <w:tcBorders>
              <w:top w:val="single" w:sz="2" w:space="0" w:color="BFBFBF"/>
              <w:left w:val="single" w:sz="2" w:space="0" w:color="D9D9D9"/>
              <w:bottom w:val="single" w:sz="2" w:space="0" w:color="D9D9D9"/>
              <w:right w:val="single" w:sz="2" w:space="0" w:color="BFBFBF"/>
            </w:tcBorders>
            <w:shd w:fill="1F4E79" w:val="clear"/>
            <w:vAlign w:val="center"/>
          </w:tcPr>
          <w:p>
            <w:pPr>
              <w:pStyle w:val="Normal"/>
              <w:spacing w:lineRule="exact" w:line="252" w:before="0" w:after="0"/>
              <w:jc w:val="left"/>
              <w:rPr/>
            </w:pPr>
            <w:r>
              <w:rPr>
                <w:rFonts w:eastAsia="Arial" w:cs="Arial"/>
                <w:b/>
                <w:bCs/>
                <w:color w:val="FFFFFF"/>
                <w:sz w:val="19"/>
                <w:szCs w:val="19"/>
              </w:rPr>
              <w:t>Approbateur</w:t>
            </w:r>
          </w:p>
        </w:tc>
      </w:tr>
      <w:tr>
        <w:trPr/>
        <w:tc>
          <w:tcPr>
            <w:tcW w:w="2100" w:type="dxa"/>
            <w:tcBorders>
              <w:top w:val="single" w:sz="2" w:space="0" w:color="D9D9D9"/>
              <w:left w:val="single" w:sz="2" w:space="0" w:color="BFBFBF"/>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CAR-SST-001</w:t>
            </w:r>
          </w:p>
        </w:tc>
        <w:tc>
          <w:tcPr>
            <w:tcW w:w="900" w:type="dxa"/>
            <w:tcBorders>
              <w:top w:val="single" w:sz="2" w:space="0" w:color="D9D9D9"/>
              <w:left w:val="single" w:sz="2" w:space="0" w:color="D9D9D9"/>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1.1</w:t>
            </w:r>
          </w:p>
        </w:tc>
        <w:tc>
          <w:tcPr>
            <w:tcW w:w="1150" w:type="dxa"/>
            <w:tcBorders>
              <w:top w:val="single" w:sz="2" w:space="0" w:color="D9D9D9"/>
              <w:left w:val="single" w:sz="2" w:space="0" w:color="D9D9D9"/>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Juillet 2026</w:t>
            </w:r>
          </w:p>
        </w:tc>
        <w:tc>
          <w:tcPr>
            <w:tcW w:w="1651" w:type="dxa"/>
            <w:tcBorders>
              <w:top w:val="single" w:sz="2" w:space="0" w:color="D9D9D9"/>
              <w:left w:val="single" w:sz="2" w:space="0" w:color="D9D9D9"/>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[Nom organisation]</w:t>
            </w:r>
          </w:p>
        </w:tc>
        <w:tc>
          <w:tcPr>
            <w:tcW w:w="1612" w:type="dxa"/>
            <w:tcBorders>
              <w:top w:val="single" w:sz="2" w:space="0" w:color="D9D9D9"/>
              <w:left w:val="single" w:sz="2" w:space="0" w:color="D9D9D9"/>
              <w:bottom w:val="single" w:sz="2" w:space="0" w:color="BFBFBF"/>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[À COMPLÉTER]</w:t>
            </w:r>
          </w:p>
        </w:tc>
        <w:tc>
          <w:tcPr>
            <w:tcW w:w="1612" w:type="dxa"/>
            <w:tcBorders>
              <w:top w:val="single" w:sz="2" w:space="0" w:color="D9D9D9"/>
              <w:left w:val="single" w:sz="2" w:space="0" w:color="D9D9D9"/>
              <w:bottom w:val="single" w:sz="2" w:space="0" w:color="BFBFBF"/>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[À COMPLÉTER]</w:t>
            </w:r>
          </w:p>
        </w:tc>
      </w:tr>
    </w:tbl>
    <w:p>
      <w:pPr>
        <w:pStyle w:val="Normal"/>
        <w:spacing w:before="0" w:after="120"/>
        <w:rPr/>
      </w:pPr>
      <w:r>
        <w:rPr/>
      </w:r>
    </w:p>
    <w:p>
      <w:pPr>
        <w:pStyle w:val="Normal"/>
        <w:spacing w:before="180" w:after="90"/>
        <w:rPr/>
      </w:pPr>
      <w:r>
        <w:rPr>
          <w:rFonts w:eastAsia="Arial" w:cs="Arial"/>
          <w:b/>
          <w:bCs/>
          <w:color w:val="2E75B6"/>
          <w:sz w:val="23"/>
          <w:szCs w:val="23"/>
        </w:rPr>
        <w:t>Historique des révisions</w:t>
      </w:r>
    </w:p>
    <w:tbl>
      <w:tblPr>
        <w:tblW w:w="9026" w:type="dxa"/>
        <w:jc w:val="left"/>
        <w:tblInd w:w="0" w:type="dxa"/>
        <w:tblLayout w:type="fixed"/>
        <w:tblCellMar>
          <w:top w:w="60" w:type="dxa"/>
          <w:left w:w="100" w:type="dxa"/>
          <w:bottom w:w="60" w:type="dxa"/>
          <w:right w:w="100" w:type="dxa"/>
        </w:tblCellMar>
      </w:tblPr>
      <w:tblGrid>
        <w:gridCol w:w="1199"/>
        <w:gridCol w:w="1500"/>
        <w:gridCol w:w="4726"/>
        <w:gridCol w:w="1600"/>
      </w:tblGrid>
      <w:tr>
        <w:trPr>
          <w:tblHeader w:val="true"/>
        </w:trPr>
        <w:tc>
          <w:tcPr>
            <w:tcW w:w="1199" w:type="dxa"/>
            <w:tcBorders>
              <w:top w:val="single" w:sz="2" w:space="0" w:color="BFBFBF"/>
              <w:left w:val="single" w:sz="2" w:space="0" w:color="BFBFBF"/>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Version</w:t>
            </w:r>
          </w:p>
        </w:tc>
        <w:tc>
          <w:tcPr>
            <w:tcW w:w="1500"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Date</w:t>
            </w:r>
          </w:p>
        </w:tc>
        <w:tc>
          <w:tcPr>
            <w:tcW w:w="4726"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Nature de la modification</w:t>
            </w:r>
          </w:p>
        </w:tc>
        <w:tc>
          <w:tcPr>
            <w:tcW w:w="1600" w:type="dxa"/>
            <w:tcBorders>
              <w:top w:val="single" w:sz="2" w:space="0" w:color="BFBFBF"/>
              <w:left w:val="single" w:sz="2" w:space="0" w:color="D9D9D9"/>
              <w:bottom w:val="single" w:sz="2" w:space="0" w:color="D9D9D9"/>
              <w:right w:val="single" w:sz="2" w:space="0" w:color="BFBFBF"/>
            </w:tcBorders>
            <w:shd w:fill="1F4E79" w:val="clear"/>
            <w:vAlign w:val="center"/>
          </w:tcPr>
          <w:p>
            <w:pPr>
              <w:pStyle w:val="Normal"/>
              <w:spacing w:lineRule="exact" w:line="252" w:before="0" w:after="0"/>
              <w:jc w:val="left"/>
              <w:rPr/>
            </w:pPr>
            <w:r>
              <w:rPr>
                <w:rFonts w:eastAsia="Arial" w:cs="Arial"/>
                <w:b/>
                <w:bCs/>
                <w:color w:val="FFFFFF"/>
                <w:sz w:val="19"/>
                <w:szCs w:val="19"/>
              </w:rPr>
              <w:t>Auteur</w:t>
            </w:r>
          </w:p>
        </w:tc>
      </w:tr>
      <w:tr>
        <w:trPr/>
        <w:tc>
          <w:tcPr>
            <w:tcW w:w="1199"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1.0</w:t>
            </w:r>
          </w:p>
        </w:tc>
        <w:tc>
          <w:tcPr>
            <w:tcW w:w="1500"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Juillet 2026</w:t>
            </w:r>
          </w:p>
        </w:tc>
        <w:tc>
          <w:tcPr>
            <w:tcW w:w="4726"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Création du document.</w:t>
            </w:r>
          </w:p>
        </w:tc>
        <w:tc>
          <w:tcPr>
            <w:tcW w:w="1600"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[Nom organisation]</w:t>
            </w:r>
          </w:p>
        </w:tc>
      </w:tr>
      <w:tr>
        <w:trPr/>
        <w:tc>
          <w:tcPr>
            <w:tcW w:w="1199" w:type="dxa"/>
            <w:tcBorders>
              <w:top w:val="single" w:sz="2" w:space="0" w:color="D9D9D9"/>
              <w:left w:val="single" w:sz="2" w:space="0" w:color="BFBFBF"/>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w:t>
            </w:r>
          </w:p>
        </w:tc>
        <w:tc>
          <w:tcPr>
            <w:tcW w:w="1500" w:type="dxa"/>
            <w:tcBorders>
              <w:top w:val="single" w:sz="2" w:space="0" w:color="D9D9D9"/>
              <w:left w:val="single" w:sz="2" w:space="0" w:color="D9D9D9"/>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__/__/____</w:t>
            </w:r>
          </w:p>
        </w:tc>
        <w:tc>
          <w:tcPr>
            <w:tcW w:w="4726" w:type="dxa"/>
            <w:tcBorders>
              <w:top w:val="single" w:sz="2" w:space="0" w:color="D9D9D9"/>
              <w:left w:val="single" w:sz="2" w:space="0" w:color="D9D9D9"/>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[À COMPLÉTER : nature de la révision]</w:t>
            </w:r>
          </w:p>
        </w:tc>
        <w:tc>
          <w:tcPr>
            <w:tcW w:w="1600" w:type="dxa"/>
            <w:tcBorders>
              <w:top w:val="single" w:sz="2" w:space="0" w:color="D9D9D9"/>
              <w:left w:val="single" w:sz="2" w:space="0" w:color="D9D9D9"/>
              <w:bottom w:val="single" w:sz="2" w:space="0" w:color="BFBFBF"/>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w:t>
            </w:r>
          </w:p>
        </w:tc>
      </w:tr>
    </w:tbl>
    <w:p>
      <w:pPr>
        <w:pStyle w:val="Normal"/>
        <w:spacing w:before="0" w:after="120"/>
        <w:rPr/>
      </w:pPr>
      <w:r>
        <w:rPr/>
      </w:r>
    </w:p>
    <w:p>
      <w:pPr>
        <w:pStyle w:val="Normal"/>
        <w:spacing w:before="180" w:after="90"/>
        <w:rPr/>
      </w:pPr>
      <w:r>
        <w:rPr>
          <w:rFonts w:eastAsia="Arial" w:cs="Arial"/>
          <w:b/>
          <w:bCs/>
          <w:color w:val="2E75B6"/>
          <w:sz w:val="23"/>
          <w:szCs w:val="23"/>
        </w:rPr>
        <w:t>Objet du document</w:t>
      </w:r>
    </w:p>
    <w:p>
      <w:pPr>
        <w:pStyle w:val="Normal"/>
        <w:spacing w:lineRule="exact" w:line="276" w:before="0" w:after="120"/>
        <w:jc w:val="both"/>
        <w:rPr/>
      </w:pPr>
      <w:r>
        <w:rPr>
          <w:rFonts w:eastAsia="Arial" w:cs="Arial"/>
          <w:b w:val="false"/>
          <w:bCs w:val="false"/>
          <w:i w:val="false"/>
          <w:iCs w:val="false"/>
          <w:color w:val="222222"/>
          <w:sz w:val="20"/>
          <w:szCs w:val="20"/>
        </w:rPr>
        <w:t>Ce document présente la cartographie des processus du SMSST : dix processus métier regroupés en trois familles (management, réalisation, support), leurs interactions et leur inscription dans le cycle PDCA. Il matérialise l'exigence d'établir le SMSST et ses processus (§4.4) et renvoie à la fiche détaillée de chaque processus (dossier 02_Fiches_Processus).</w:t>
      </w:r>
    </w:p>
    <w:p>
      <w:pPr>
        <w:pStyle w:val="Normal"/>
        <w:rPr/>
      </w:pPr>
      <w:r>
        <w:rPr/>
      </w:r>
      <w:r>
        <w:br w:type="page"/>
      </w:r>
    </w:p>
    <w:p>
      <w:pPr>
        <w:pStyle w:val="Normal"/>
        <w:pBdr>
          <w:bottom w:val="single" w:sz="12" w:space="4" w:color="4F9B3E"/>
        </w:pBdr>
        <w:spacing w:before="0" w:after="140"/>
        <w:rPr/>
      </w:pPr>
      <w:r>
        <w:rPr>
          <w:rFonts w:eastAsia="Arial" w:cs="Arial"/>
          <w:b/>
          <w:bCs/>
          <w:color w:val="1F4E79"/>
          <w:sz w:val="28"/>
          <w:szCs w:val="28"/>
        </w:rPr>
        <w:t>Sommaire</w:t>
      </w:r>
    </w:p>
    <w:p>
      <w:pPr>
        <w:pStyle w:val="Normal"/>
        <w:spacing w:before="0" w:after="60"/>
        <w:rPr/>
      </w:pPr>
      <w:r>
        <w:rPr>
          <w:rFonts w:eastAsia="Arial" w:cs="Arial"/>
          <w:i/>
          <w:iCs/>
          <w:color w:val="595959"/>
          <w:sz w:val="17"/>
          <w:szCs w:val="17"/>
        </w:rPr>
        <w:t>Sommaire automatique, déjà à jour. Après ajout ou suppression de sections, actualisez-le : clic droit ▸ « Mettre à jour les champs », ou Ctrl+A puis F9.</w:t>
      </w:r>
    </w:p>
    <w:sdt>
      <w:sdtPr>
        <w:docPartObj>
          <w:docPartGallery w:val="Table of Contents"/>
          <w:docPartUnique w:val="true"/>
        </w:docPartObj>
      </w:sdtPr>
      <w:sdtContent>
        <w:p>
          <w:pPr>
            <w:pStyle w:val="TOCHeading"/>
            <w:rPr/>
          </w:pPr>
          <w:r>
            <w:rPr/>
          </w:r>
        </w:p>
        <w:p>
          <w:pPr>
            <w:pStyle w:val="BodyText"/>
            <w:spacing w:lineRule="auto" w:line="276" w:before="0" w:after="140"/>
            <w:rPr/>
          </w:pPr>
          <w:r>
            <w:fldChar w:fldCharType="begin"/>
          </w:r>
          <w:r>
            <w:rPr/>
            <w:instrText xml:space="preserve"> TOC \z \o "1-3" \u \h</w:instrText>
          </w:r>
          <w:r>
            <w:rPr/>
            <w:fldChar w:fldCharType="separate"/>
          </w:r>
          <w:r>
            <w:rPr/>
          </w:r>
          <w:r>
            <w:rPr/>
            <w:fldChar w:fldCharType="end"/>
          </w:r>
        </w:p>
      </w:sdtContent>
    </w:sdt>
    <w:p>
      <w:pPr>
        <w:pStyle w:val="BodyText"/>
        <w:spacing w:lineRule="auto" w:line="276" w:before="0" w:after="140"/>
        <w:rPr/>
      </w:pPr>
      <w:r>
        <w:rPr/>
      </w:r>
    </w:p>
    <w:p>
      <w:pPr>
        <w:pStyle w:val="Normal"/>
        <w:rPr/>
      </w:pPr>
      <w:r>
        <w:rPr/>
      </w:r>
    </w:p>
    <w:p>
      <w:pPr>
        <w:pStyle w:val="Normal"/>
        <w:rPr/>
      </w:pPr>
      <w:r>
        <w:rPr/>
      </w:r>
      <w:r>
        <w:br w:type="page"/>
      </w:r>
    </w:p>
    <w:p>
      <w:pPr>
        <w:pStyle w:val="Heading1"/>
        <w:pBdr>
          <w:bottom w:val="single" w:sz="12" w:space="4" w:color="4F9B3E"/>
        </w:pBdr>
        <w:spacing w:before="0" w:after="140"/>
        <w:rPr/>
      </w:pPr>
      <w:r>
        <w:rPr>
          <w:rFonts w:eastAsia="Arial" w:cs="Arial" w:ascii="Arial" w:hAnsi="Arial"/>
          <w:b/>
          <w:bCs/>
          <w:color w:val="1F4E79"/>
          <w:sz w:val="28"/>
          <w:szCs w:val="28"/>
        </w:rPr>
        <w:t>1. Objet et finalité</w:t>
      </w:r>
    </w:p>
    <w:p>
      <w:pPr>
        <w:pStyle w:val="Normal"/>
        <w:spacing w:lineRule="exact" w:line="276" w:before="0" w:after="120"/>
        <w:jc w:val="both"/>
        <w:rPr/>
      </w:pPr>
      <w:r>
        <w:rPr>
          <w:rFonts w:eastAsia="Arial" w:cs="Arial"/>
          <w:b w:val="false"/>
          <w:bCs w:val="false"/>
          <w:i w:val="false"/>
          <w:iCs w:val="false"/>
          <w:color w:val="222222"/>
          <w:sz w:val="20"/>
          <w:szCs w:val="20"/>
        </w:rPr>
        <w:t>L'organisme établit, met en œuvre, tient à jour et améliore en continu son SMSST, y compris les processus nécessaires et leurs interactions (§4.4). Cette cartographie situe les dix processus métier, montre comment les exigences des parties intéressées (entrée, §4) se transforment en performance SST (sortie, §10), et rend visible la boucle d'amélioration PDCA.</w:t>
      </w:r>
    </w:p>
    <w:p>
      <w:pPr>
        <w:pStyle w:val="Normal"/>
        <w:rPr/>
      </w:pPr>
      <w:r>
        <w:rPr/>
      </w:r>
    </w:p>
    <w:p>
      <w:pPr>
        <w:pStyle w:val="Normal"/>
        <w:rPr/>
      </w:pPr>
      <w:r>
        <w:rPr>
          <w:sz w:val="22"/>
        </w:rPr>
        <w:t>Ce document présente la cartographie des processus du Système de Management de la Santé et de la Sécurité au Travail (SMSST) de [Nom organisation]. Il constitue la vision d'ensemble de l'organisation par processus exigée par l'ISO 45001:2018 (§4.4).</w:t>
      </w:r>
    </w:p>
    <w:p>
      <w:pPr>
        <w:pStyle w:val="Normal"/>
        <w:rPr/>
      </w:pPr>
      <w:r>
        <w:rPr/>
      </w:r>
    </w:p>
    <w:p>
      <w:pPr>
        <w:pStyle w:val="Normal"/>
        <w:rPr/>
      </w:pPr>
      <w:r>
        <w:rPr>
          <w:sz w:val="22"/>
        </w:rPr>
        <w:t>L'approche processus vise à :</w:t>
      </w:r>
    </w:p>
    <w:p>
      <w:pPr>
        <w:pStyle w:val="Normal"/>
        <w:ind w:left="454"/>
        <w:rPr/>
      </w:pPr>
      <w:r>
        <w:rPr>
          <w:sz w:val="22"/>
        </w:rPr>
        <w:t xml:space="preserve">•  </w:t>
      </w:r>
      <w:r>
        <w:rPr>
          <w:sz w:val="22"/>
        </w:rPr>
        <w:t>Fournir une vision d'ensemble et intégrée du fonctionnement du SMSST, complémentaire à l'organisation hiérarchique.</w:t>
      </w:r>
    </w:p>
    <w:p>
      <w:pPr>
        <w:pStyle w:val="Normal"/>
        <w:ind w:left="454"/>
        <w:rPr/>
      </w:pPr>
      <w:r>
        <w:rPr>
          <w:sz w:val="22"/>
        </w:rPr>
        <w:t xml:space="preserve">•  </w:t>
      </w:r>
      <w:r>
        <w:rPr>
          <w:sz w:val="22"/>
        </w:rPr>
        <w:t>Identifier les données d'entrée, les activités et les données de sortie de chaque processus.</w:t>
      </w:r>
    </w:p>
    <w:p>
      <w:pPr>
        <w:pStyle w:val="Normal"/>
        <w:ind w:left="454"/>
        <w:rPr/>
      </w:pPr>
      <w:r>
        <w:rPr>
          <w:sz w:val="22"/>
        </w:rPr>
        <w:t xml:space="preserve">•  </w:t>
      </w:r>
      <w:r>
        <w:rPr>
          <w:sz w:val="22"/>
        </w:rPr>
        <w:t>Mettre en évidence les interactions entre processus, condition nécessaire à la performance globale.</w:t>
      </w:r>
    </w:p>
    <w:p>
      <w:pPr>
        <w:pStyle w:val="Normal"/>
        <w:ind w:left="454"/>
        <w:rPr/>
      </w:pPr>
      <w:r>
        <w:rPr>
          <w:sz w:val="22"/>
        </w:rPr>
        <w:t xml:space="preserve">•  </w:t>
      </w:r>
      <w:r>
        <w:rPr>
          <w:sz w:val="22"/>
        </w:rPr>
        <w:t>Attribuer clairement les responsabilités (pilote de processus, contributeurs).</w:t>
      </w:r>
    </w:p>
    <w:p>
      <w:pPr>
        <w:pStyle w:val="Normal"/>
        <w:ind w:left="454"/>
        <w:rPr/>
      </w:pPr>
      <w:r>
        <w:rPr>
          <w:sz w:val="22"/>
        </w:rPr>
        <w:t xml:space="preserve">•  </w:t>
      </w:r>
      <w:r>
        <w:rPr>
          <w:sz w:val="22"/>
        </w:rPr>
        <w:t>Piloter la performance de chaque processus à travers des indicateurs pertinents.</w:t>
      </w:r>
    </w:p>
    <w:p>
      <w:pPr>
        <w:pStyle w:val="Normal"/>
        <w:ind w:left="454"/>
        <w:rPr/>
      </w:pPr>
      <w:r>
        <w:rPr>
          <w:sz w:val="22"/>
        </w:rPr>
        <w:t xml:space="preserve">•  </w:t>
      </w:r>
      <w:r>
        <w:rPr>
          <w:sz w:val="22"/>
        </w:rPr>
        <w:t>Faciliter l'amélioration continue en localisant les points de progrès.</w:t>
      </w:r>
    </w:p>
    <w:p>
      <w:pPr>
        <w:pStyle w:val="Normal"/>
        <w:rPr/>
      </w:pPr>
      <w:r>
        <w:rPr/>
      </w:r>
    </w:p>
    <w:p>
      <w:pPr>
        <w:pStyle w:val="Normal"/>
        <w:rPr/>
      </w:pPr>
      <w:r>
        <w:rPr>
          <w:sz w:val="22"/>
        </w:rPr>
        <w:t>Cette cartographie est complétée par les 10 fiches processus détaillées (dossier 02_Fiches_Processus) et les 27 logigrammes opérationnels (dossier 05_Logigrammes).</w:t>
      </w:r>
    </w:p>
    <w:p>
      <w:pPr>
        <w:pStyle w:val="Heading1"/>
        <w:pBdr>
          <w:bottom w:val="single" w:sz="12" w:space="4" w:color="4F9B3E"/>
        </w:pBdr>
        <w:spacing w:before="260" w:after="140"/>
        <w:rPr/>
      </w:pPr>
      <w:r>
        <w:rPr>
          <w:rFonts w:eastAsia="Arial" w:cs="Arial" w:ascii="Arial" w:hAnsi="Arial"/>
          <w:b/>
          <w:bCs/>
          <w:color w:val="1F4E79"/>
          <w:sz w:val="28"/>
          <w:szCs w:val="28"/>
        </w:rPr>
        <w:t>2. Cartographie des processus SST</w:t>
      </w:r>
    </w:p>
    <w:p>
      <w:pPr>
        <w:pStyle w:val="Normal"/>
        <w:spacing w:before="120" w:after="60"/>
        <w:jc w:val="center"/>
        <w:rPr/>
      </w:pPr>
      <w:r>
        <w:rPr/>
        <w:drawing>
          <wp:inline distT="0" distB="0" distL="0" distR="0">
            <wp:extent cx="6096000" cy="3514725"/>
            <wp:effectExtent l="0" t="0" r="0" b="0"/>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3"/>
                    <a:stretch>
                      <a:fillRect/>
                    </a:stretch>
                  </pic:blipFill>
                  <pic:spPr bwMode="auto">
                    <a:xfrm>
                      <a:off x="0" y="0"/>
                      <a:ext cx="6096000" cy="3514725"/>
                    </a:xfrm>
                    <a:prstGeom prst="rect">
                      <a:avLst/>
                    </a:prstGeom>
                  </pic:spPr>
                </pic:pic>
              </a:graphicData>
            </a:graphic>
          </wp:inline>
        </w:drawing>
      </w:r>
    </w:p>
    <w:p>
      <w:pPr>
        <w:pStyle w:val="Normal"/>
        <w:spacing w:before="0" w:after="120"/>
        <w:jc w:val="center"/>
        <w:rPr/>
      </w:pPr>
      <w:r>
        <w:rPr>
          <w:rFonts w:eastAsia="Arial" w:cs="Arial"/>
          <w:b w:val="false"/>
          <w:bCs w:val="false"/>
          <w:i/>
          <w:iCs/>
          <w:color w:val="595959"/>
          <w:sz w:val="16"/>
          <w:szCs w:val="16"/>
        </w:rPr>
        <w:t>Figure 1 — Cartographie des 10 processus du SMSST (management / réalisation / support, boucle PDCA).</w:t>
      </w:r>
    </w:p>
    <w:p>
      <w:pPr>
        <w:pStyle w:val="Normal"/>
        <w:rPr/>
      </w:pPr>
      <w:r>
        <w:rPr/>
      </w:r>
    </w:p>
    <w:p>
      <w:pPr>
        <w:pStyle w:val="Normal"/>
        <w:rPr/>
      </w:pPr>
      <w:r>
        <w:rPr>
          <w:sz w:val="22"/>
        </w:rPr>
        <w:t>La cartographie du SMSST de [Nom organisation] s'articule autour de trois grandes familles de processus, en cohérence avec la structure de la norme ISO 45001:2018 :</w:t>
      </w:r>
    </w:p>
    <w:p>
      <w:pPr>
        <w:pStyle w:val="Normal"/>
        <w:rPr/>
      </w:pPr>
      <w:r>
        <w:rPr/>
      </w:r>
    </w:p>
    <w:p>
      <w:pPr>
        <w:pStyle w:val="Heading2"/>
        <w:rPr/>
      </w:pPr>
      <w:r>
        <w:rPr>
          <w:rFonts w:ascii="Arial" w:hAnsi="Arial"/>
          <w:b/>
          <w:color w:val="1F4E79"/>
          <w:sz w:val="24"/>
        </w:rPr>
        <w:t>2.1  Processus de pilotage (Management)</w:t>
      </w:r>
    </w:p>
    <w:p>
      <w:pPr>
        <w:pStyle w:val="Normal"/>
        <w:rPr/>
      </w:pPr>
      <w:r>
        <w:rPr>
          <w:sz w:val="22"/>
        </w:rPr>
        <w:t>Les processus de pilotage donnent la stratégie, l'orientation et les moyens au SMSST. Ils intègrent l'engagement de la direction (§5), le contexte (§4), la planification stratégique (§6) et l'évaluation stratégique (§9.3).</w:t>
      </w:r>
    </w:p>
    <w:p>
      <w:pPr>
        <w:pStyle w:val="Normal"/>
        <w:ind w:left="454"/>
        <w:rPr/>
      </w:pPr>
      <w:r>
        <w:rPr>
          <w:sz w:val="22"/>
        </w:rPr>
        <w:t xml:space="preserve">•  </w:t>
      </w:r>
      <w:r>
        <w:rPr>
          <w:sz w:val="22"/>
        </w:rPr>
        <w:t>PM-DIR — Leadership et pilotage du système : ce processus porte l'engagement de la direction, la politique SST, les objectifs stratégiques et la revue de direction. Pilote : Direction générale.</w:t>
      </w:r>
    </w:p>
    <w:p>
      <w:pPr>
        <w:pStyle w:val="Normal"/>
        <w:rPr/>
      </w:pPr>
      <w:r>
        <w:rPr/>
      </w:r>
    </w:p>
    <w:p>
      <w:pPr>
        <w:pStyle w:val="Heading2"/>
        <w:rPr/>
      </w:pPr>
      <w:r>
        <w:rPr>
          <w:rFonts w:ascii="Arial" w:hAnsi="Arial"/>
          <w:b/>
          <w:color w:val="1F4E79"/>
          <w:sz w:val="24"/>
        </w:rPr>
        <w:t>2.2  Processus de réalisation (Cœur de métier SST)</w:t>
      </w:r>
    </w:p>
    <w:p>
      <w:pPr>
        <w:pStyle w:val="Normal"/>
        <w:rPr/>
      </w:pPr>
      <w:r>
        <w:rPr>
          <w:sz w:val="22"/>
        </w:rPr>
        <w:t>Les processus de réalisation constituent le cœur opérationnel du SMSST. Ils portent la préparation, la réalisation et la gestion des activités à risque, ainsi que la réponse aux urgences.</w:t>
      </w:r>
    </w:p>
    <w:p>
      <w:pPr>
        <w:pStyle w:val="Normal"/>
        <w:ind w:left="454"/>
        <w:rPr/>
      </w:pPr>
      <w:r>
        <w:rPr>
          <w:sz w:val="22"/>
        </w:rPr>
        <w:t xml:space="preserve">•  </w:t>
      </w:r>
      <w:r>
        <w:rPr>
          <w:sz w:val="22"/>
        </w:rPr>
        <w:t>PC-PREP — Évaluation et maîtrise des risques professionnels : identifie les dangers, évalue les risques (IPER), définit les mesures de maîtrise selon la hiérarchie §8.1.2.</w:t>
      </w:r>
    </w:p>
    <w:p>
      <w:pPr>
        <w:pStyle w:val="Normal"/>
        <w:ind w:left="454"/>
        <w:rPr/>
      </w:pPr>
      <w:r>
        <w:rPr>
          <w:sz w:val="22"/>
        </w:rPr>
        <w:t xml:space="preserve">•  </w:t>
      </w:r>
      <w:r>
        <w:rPr>
          <w:sz w:val="22"/>
        </w:rPr>
        <w:t>PC-CHA — Maîtrise opérationnelle : exécute les activités selon les consignes, gère la coactivité, mobilise le droit d'arrêt.</w:t>
      </w:r>
    </w:p>
    <w:p>
      <w:pPr>
        <w:pStyle w:val="Normal"/>
        <w:ind w:left="454"/>
        <w:rPr/>
      </w:pPr>
      <w:r>
        <w:rPr>
          <w:sz w:val="22"/>
        </w:rPr>
        <w:t xml:space="preserve">•  </w:t>
      </w:r>
      <w:r>
        <w:rPr>
          <w:sz w:val="22"/>
        </w:rPr>
        <w:t>PC-URG — Préparation et réponse aux situations d'urgence : anticipe les scénarios, forme les équipiers, réagit aux événements critiques.</w:t>
      </w:r>
    </w:p>
    <w:p>
      <w:pPr>
        <w:pStyle w:val="Normal"/>
        <w:rPr/>
      </w:pPr>
      <w:r>
        <w:rPr/>
      </w:r>
    </w:p>
    <w:p>
      <w:pPr>
        <w:pStyle w:val="Heading2"/>
        <w:rPr/>
      </w:pPr>
      <w:r>
        <w:rPr>
          <w:rFonts w:ascii="Arial" w:hAnsi="Arial"/>
          <w:b/>
          <w:color w:val="1F4E79"/>
          <w:sz w:val="24"/>
        </w:rPr>
        <w:t>2.3  Processus support</w:t>
      </w:r>
    </w:p>
    <w:p>
      <w:pPr>
        <w:pStyle w:val="Normal"/>
        <w:rPr/>
      </w:pPr>
      <w:r>
        <w:rPr>
          <w:sz w:val="22"/>
        </w:rPr>
        <w:t>Les processus support fournissent les ressources et compétences nécessaires aux processus de réalisation. Ils portent les exigences §7 (Support) et §6.1.3 (Veille) de la norme.</w:t>
      </w:r>
    </w:p>
    <w:p>
      <w:pPr>
        <w:pStyle w:val="Normal"/>
        <w:ind w:left="454"/>
        <w:rPr/>
      </w:pPr>
      <w:r>
        <w:rPr>
          <w:sz w:val="22"/>
        </w:rPr>
        <w:t xml:space="preserve">•  </w:t>
      </w:r>
      <w:r>
        <w:rPr>
          <w:sz w:val="22"/>
        </w:rPr>
        <w:t>PS-RH — Gestion des compétences et de la participation : identifie les besoins, forme les travailleurs, organise la consultation §5.4.</w:t>
      </w:r>
    </w:p>
    <w:p>
      <w:pPr>
        <w:pStyle w:val="Normal"/>
        <w:ind w:left="454"/>
        <w:rPr/>
      </w:pPr>
      <w:r>
        <w:rPr>
          <w:sz w:val="22"/>
        </w:rPr>
        <w:t xml:space="preserve">•  </w:t>
      </w:r>
      <w:r>
        <w:rPr>
          <w:sz w:val="22"/>
        </w:rPr>
        <w:t>PS-COM — Communication et maîtrise de l'information documentée : gère les documents (§7.5) et la communication interne/externe (§7.4).</w:t>
      </w:r>
    </w:p>
    <w:p>
      <w:pPr>
        <w:pStyle w:val="Normal"/>
        <w:ind w:left="454"/>
        <w:rPr/>
      </w:pPr>
      <w:r>
        <w:rPr>
          <w:sz w:val="22"/>
        </w:rPr>
        <w:t xml:space="preserve">•  </w:t>
      </w:r>
      <w:r>
        <w:rPr>
          <w:sz w:val="22"/>
        </w:rPr>
        <w:t>PS-EQU — Gestion des ressources et infrastructures : approvisionne, maintient et contrôle les moyens matériels.</w:t>
      </w:r>
    </w:p>
    <w:p>
      <w:pPr>
        <w:pStyle w:val="Normal"/>
        <w:ind w:left="454"/>
        <w:rPr/>
      </w:pPr>
      <w:r>
        <w:rPr>
          <w:sz w:val="22"/>
        </w:rPr>
        <w:t xml:space="preserve">•  </w:t>
      </w:r>
      <w:r>
        <w:rPr>
          <w:sz w:val="22"/>
        </w:rPr>
        <w:t>PS-ACH — Achats et maîtrise des prestataires externes : intègre les exigences SST dans les achats et la sous-traitance (§8.1.4).</w:t>
      </w:r>
    </w:p>
    <w:p>
      <w:pPr>
        <w:pStyle w:val="Normal"/>
        <w:ind w:left="454"/>
        <w:rPr/>
      </w:pPr>
      <w:r>
        <w:rPr>
          <w:sz w:val="22"/>
        </w:rPr>
        <w:t xml:space="preserve">•  </w:t>
      </w:r>
      <w:r>
        <w:rPr>
          <w:sz w:val="22"/>
        </w:rPr>
        <w:t>PS-REG — Veille et conformité (exigences légales) : identifie les exigences applicables, évalue la conformité §9.1.2.</w:t>
      </w:r>
    </w:p>
    <w:p>
      <w:pPr>
        <w:pStyle w:val="Normal"/>
        <w:rPr/>
      </w:pPr>
      <w:r>
        <w:rPr/>
      </w:r>
    </w:p>
    <w:p>
      <w:pPr>
        <w:pStyle w:val="Heading2"/>
        <w:rPr/>
      </w:pPr>
      <w:r>
        <w:rPr>
          <w:rFonts w:ascii="Arial" w:hAnsi="Arial"/>
          <w:b/>
          <w:color w:val="1F4E79"/>
          <w:sz w:val="24"/>
        </w:rPr>
        <w:t>2.4  Processus d'évaluation et d'amélioration</w:t>
      </w:r>
    </w:p>
    <w:p>
      <w:pPr>
        <w:pStyle w:val="Normal"/>
        <w:rPr/>
      </w:pPr>
      <w:r>
        <w:rPr>
          <w:sz w:val="22"/>
        </w:rPr>
        <w:t>Ce processus boucle le cycle PDCA en mesurant la performance et en pilotant les améliorations.</w:t>
      </w:r>
    </w:p>
    <w:p>
      <w:pPr>
        <w:pStyle w:val="Normal"/>
        <w:ind w:left="454"/>
        <w:rPr/>
      </w:pPr>
      <w:r>
        <w:rPr>
          <w:sz w:val="22"/>
        </w:rPr>
        <w:t xml:space="preserve">•  </w:t>
      </w:r>
      <w:r>
        <w:rPr>
          <w:sz w:val="22"/>
        </w:rPr>
        <w:t>PM-AME — Surveillance, mesure et amélioration continue : produit les indicateurs, conduit les analyses d'événements, pilote les actions correctives (§10).</w:t>
      </w:r>
    </w:p>
    <w:p>
      <w:pPr>
        <w:pStyle w:val="Heading1"/>
        <w:pBdr>
          <w:bottom w:val="single" w:sz="12" w:space="4" w:color="4F9B3E"/>
        </w:pBdr>
        <w:spacing w:before="260" w:after="140"/>
        <w:rPr/>
      </w:pPr>
      <w:r>
        <w:rPr>
          <w:rFonts w:eastAsia="Arial" w:cs="Arial" w:ascii="Arial" w:hAnsi="Arial"/>
          <w:b/>
          <w:bCs/>
          <w:color w:val="1F4E79"/>
          <w:sz w:val="28"/>
          <w:szCs w:val="28"/>
        </w:rPr>
        <w:t>3. Les dix processus</w:t>
      </w:r>
    </w:p>
    <w:p>
      <w:pPr>
        <w:pStyle w:val="Normal"/>
        <w:spacing w:lineRule="exact" w:line="276" w:before="0" w:after="120"/>
        <w:jc w:val="both"/>
        <w:rPr/>
      </w:pPr>
      <w:r>
        <w:rPr>
          <w:rFonts w:eastAsia="Arial" w:cs="Arial"/>
          <w:b w:val="false"/>
          <w:bCs w:val="false"/>
          <w:i w:val="false"/>
          <w:iCs w:val="false"/>
          <w:color w:val="222222"/>
          <w:sz w:val="20"/>
          <w:szCs w:val="20"/>
        </w:rPr>
        <w:t>Chaque processus fait l'objet d'une fiche détaillée (dossier 02_Fiches_Processus) précisant finalité, déclencheur, données d'entrée/sortie (SIPOC), activités (logigramme), ressources, documents, risques et opportunités (§6.1), indicateurs, interactions et revue.</w:t>
      </w:r>
    </w:p>
    <w:tbl>
      <w:tblPr>
        <w:tblW w:w="9026" w:type="dxa"/>
        <w:jc w:val="left"/>
        <w:tblInd w:w="0" w:type="dxa"/>
        <w:tblLayout w:type="fixed"/>
        <w:tblCellMar>
          <w:top w:w="60" w:type="dxa"/>
          <w:left w:w="100" w:type="dxa"/>
          <w:bottom w:w="60" w:type="dxa"/>
          <w:right w:w="100" w:type="dxa"/>
        </w:tblCellMar>
      </w:tblPr>
      <w:tblGrid>
        <w:gridCol w:w="1047"/>
        <w:gridCol w:w="3050"/>
        <w:gridCol w:w="1602"/>
        <w:gridCol w:w="1825"/>
        <w:gridCol w:w="1502"/>
      </w:tblGrid>
      <w:tr>
        <w:trPr>
          <w:tblHeader w:val="true"/>
        </w:trPr>
        <w:tc>
          <w:tcPr>
            <w:tcW w:w="1047" w:type="dxa"/>
            <w:tcBorders>
              <w:top w:val="single" w:sz="2" w:space="0" w:color="BFBFBF"/>
              <w:left w:val="single" w:sz="2" w:space="0" w:color="BFBFBF"/>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Code</w:t>
            </w:r>
          </w:p>
        </w:tc>
        <w:tc>
          <w:tcPr>
            <w:tcW w:w="3050"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Processus</w:t>
            </w:r>
          </w:p>
        </w:tc>
        <w:tc>
          <w:tcPr>
            <w:tcW w:w="1602"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Famille</w:t>
            </w:r>
          </w:p>
        </w:tc>
        <w:tc>
          <w:tcPr>
            <w:tcW w:w="1825" w:type="dxa"/>
            <w:tcBorders>
              <w:top w:val="single" w:sz="2" w:space="0" w:color="BFBFBF"/>
              <w:left w:val="single" w:sz="2" w:space="0" w:color="D9D9D9"/>
              <w:bottom w:val="single" w:sz="2" w:space="0" w:color="D9D9D9"/>
              <w:right w:val="single" w:sz="2" w:space="0" w:color="D9D9D9"/>
            </w:tcBorders>
            <w:shd w:fill="1F4E79" w:val="clear"/>
            <w:vAlign w:val="center"/>
          </w:tcPr>
          <w:p>
            <w:pPr>
              <w:pStyle w:val="Normal"/>
              <w:spacing w:lineRule="exact" w:line="252" w:before="0" w:after="0"/>
              <w:jc w:val="left"/>
              <w:rPr/>
            </w:pPr>
            <w:r>
              <w:rPr>
                <w:rFonts w:eastAsia="Arial" w:cs="Arial"/>
                <w:b/>
                <w:bCs/>
                <w:color w:val="FFFFFF"/>
                <w:sz w:val="19"/>
                <w:szCs w:val="19"/>
              </w:rPr>
              <w:t>Clauses</w:t>
            </w:r>
          </w:p>
        </w:tc>
        <w:tc>
          <w:tcPr>
            <w:tcW w:w="1502" w:type="dxa"/>
            <w:tcBorders>
              <w:top w:val="single" w:sz="2" w:space="0" w:color="BFBFBF"/>
              <w:left w:val="single" w:sz="2" w:space="0" w:color="D9D9D9"/>
              <w:bottom w:val="single" w:sz="2" w:space="0" w:color="D9D9D9"/>
              <w:right w:val="single" w:sz="2" w:space="0" w:color="BFBFBF"/>
            </w:tcBorders>
            <w:shd w:fill="1F4E79" w:val="clear"/>
            <w:vAlign w:val="center"/>
          </w:tcPr>
          <w:p>
            <w:pPr>
              <w:pStyle w:val="Normal"/>
              <w:spacing w:lineRule="exact" w:line="252" w:before="0" w:after="0"/>
              <w:jc w:val="left"/>
              <w:rPr/>
            </w:pPr>
            <w:r>
              <w:rPr>
                <w:rFonts w:eastAsia="Arial" w:cs="Arial"/>
                <w:b/>
                <w:bCs/>
                <w:color w:val="FFFFFF"/>
                <w:sz w:val="19"/>
                <w:szCs w:val="19"/>
              </w:rPr>
              <w:t>Fiche</w:t>
            </w:r>
          </w:p>
        </w:tc>
      </w:tr>
      <w:tr>
        <w:trPr/>
        <w:tc>
          <w:tcPr>
            <w:tcW w:w="1047"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PM-DIR</w:t>
            </w:r>
          </w:p>
        </w:tc>
        <w:tc>
          <w:tcPr>
            <w:tcW w:w="3050"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Leadership et pilotage du système</w:t>
            </w:r>
          </w:p>
        </w:tc>
        <w:tc>
          <w:tcPr>
            <w:tcW w:w="1602"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Management</w:t>
            </w:r>
          </w:p>
        </w:tc>
        <w:tc>
          <w:tcPr>
            <w:tcW w:w="1825"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§4 · §5 · §6.2 · §9.3</w:t>
            </w:r>
          </w:p>
        </w:tc>
        <w:tc>
          <w:tcPr>
            <w:tcW w:w="1502"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PM-DIR-Fiche-Processus</w:t>
            </w:r>
          </w:p>
        </w:tc>
      </w:tr>
      <w:tr>
        <w:trPr/>
        <w:tc>
          <w:tcPr>
            <w:tcW w:w="1047" w:type="dxa"/>
            <w:tcBorders>
              <w:top w:val="single" w:sz="2" w:space="0" w:color="D9D9D9"/>
              <w:left w:val="single" w:sz="2" w:space="0" w:color="BFBFBF"/>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PM-AME</w:t>
            </w:r>
          </w:p>
        </w:tc>
        <w:tc>
          <w:tcPr>
            <w:tcW w:w="3050"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Surveillance, mesure et amélioration continue</w:t>
            </w:r>
          </w:p>
        </w:tc>
        <w:tc>
          <w:tcPr>
            <w:tcW w:w="1602"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Management</w:t>
            </w:r>
          </w:p>
        </w:tc>
        <w:tc>
          <w:tcPr>
            <w:tcW w:w="1825"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§9.1 · §9.2 · §10</w:t>
            </w:r>
          </w:p>
        </w:tc>
        <w:tc>
          <w:tcPr>
            <w:tcW w:w="1502" w:type="dxa"/>
            <w:tcBorders>
              <w:top w:val="single" w:sz="2" w:space="0" w:color="D9D9D9"/>
              <w:left w:val="single" w:sz="2" w:space="0" w:color="D9D9D9"/>
              <w:bottom w:val="single" w:sz="2" w:space="0" w:color="D9D9D9"/>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PM-AME-Fiche-Processus</w:t>
            </w:r>
          </w:p>
        </w:tc>
      </w:tr>
      <w:tr>
        <w:trPr/>
        <w:tc>
          <w:tcPr>
            <w:tcW w:w="1047"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PC-PREP</w:t>
            </w:r>
          </w:p>
        </w:tc>
        <w:tc>
          <w:tcPr>
            <w:tcW w:w="3050"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Évaluation et maîtrise des risques professionnels</w:t>
            </w:r>
          </w:p>
        </w:tc>
        <w:tc>
          <w:tcPr>
            <w:tcW w:w="1602"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Réalisation</w:t>
            </w:r>
          </w:p>
        </w:tc>
        <w:tc>
          <w:tcPr>
            <w:tcW w:w="1825"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§6.1.2</w:t>
            </w:r>
          </w:p>
        </w:tc>
        <w:tc>
          <w:tcPr>
            <w:tcW w:w="1502"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PC-PREP-Fiche-Processus</w:t>
            </w:r>
          </w:p>
        </w:tc>
      </w:tr>
      <w:tr>
        <w:trPr/>
        <w:tc>
          <w:tcPr>
            <w:tcW w:w="1047" w:type="dxa"/>
            <w:tcBorders>
              <w:top w:val="single" w:sz="2" w:space="0" w:color="D9D9D9"/>
              <w:left w:val="single" w:sz="2" w:space="0" w:color="BFBFBF"/>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PC-CHA</w:t>
            </w:r>
          </w:p>
        </w:tc>
        <w:tc>
          <w:tcPr>
            <w:tcW w:w="3050"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Maîtrise opérationnelle</w:t>
            </w:r>
          </w:p>
        </w:tc>
        <w:tc>
          <w:tcPr>
            <w:tcW w:w="1602"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Réalisation</w:t>
            </w:r>
          </w:p>
        </w:tc>
        <w:tc>
          <w:tcPr>
            <w:tcW w:w="1825"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§8.1</w:t>
            </w:r>
          </w:p>
        </w:tc>
        <w:tc>
          <w:tcPr>
            <w:tcW w:w="1502" w:type="dxa"/>
            <w:tcBorders>
              <w:top w:val="single" w:sz="2" w:space="0" w:color="D9D9D9"/>
              <w:left w:val="single" w:sz="2" w:space="0" w:color="D9D9D9"/>
              <w:bottom w:val="single" w:sz="2" w:space="0" w:color="D9D9D9"/>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PC-CHA-Fiche-Processus</w:t>
            </w:r>
          </w:p>
        </w:tc>
      </w:tr>
      <w:tr>
        <w:trPr/>
        <w:tc>
          <w:tcPr>
            <w:tcW w:w="1047"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PC-URG</w:t>
            </w:r>
          </w:p>
        </w:tc>
        <w:tc>
          <w:tcPr>
            <w:tcW w:w="3050"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Préparation et réponse aux situations d'urgence</w:t>
            </w:r>
          </w:p>
        </w:tc>
        <w:tc>
          <w:tcPr>
            <w:tcW w:w="1602"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Réalisation</w:t>
            </w:r>
          </w:p>
        </w:tc>
        <w:tc>
          <w:tcPr>
            <w:tcW w:w="1825"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§8.2</w:t>
            </w:r>
          </w:p>
        </w:tc>
        <w:tc>
          <w:tcPr>
            <w:tcW w:w="1502"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PC-URG-Fiche-Processus</w:t>
            </w:r>
          </w:p>
        </w:tc>
      </w:tr>
      <w:tr>
        <w:trPr/>
        <w:tc>
          <w:tcPr>
            <w:tcW w:w="1047" w:type="dxa"/>
            <w:tcBorders>
              <w:top w:val="single" w:sz="2" w:space="0" w:color="D9D9D9"/>
              <w:left w:val="single" w:sz="2" w:space="0" w:color="BFBFBF"/>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PS-ACH</w:t>
            </w:r>
          </w:p>
        </w:tc>
        <w:tc>
          <w:tcPr>
            <w:tcW w:w="3050"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Achats et maîtrise des prestataires externes</w:t>
            </w:r>
          </w:p>
        </w:tc>
        <w:tc>
          <w:tcPr>
            <w:tcW w:w="1602"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Support</w:t>
            </w:r>
          </w:p>
        </w:tc>
        <w:tc>
          <w:tcPr>
            <w:tcW w:w="1825"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§8.1.4</w:t>
            </w:r>
          </w:p>
        </w:tc>
        <w:tc>
          <w:tcPr>
            <w:tcW w:w="1502" w:type="dxa"/>
            <w:tcBorders>
              <w:top w:val="single" w:sz="2" w:space="0" w:color="D9D9D9"/>
              <w:left w:val="single" w:sz="2" w:space="0" w:color="D9D9D9"/>
              <w:bottom w:val="single" w:sz="2" w:space="0" w:color="D9D9D9"/>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PS-ACH-Fiche-Processus</w:t>
            </w:r>
          </w:p>
        </w:tc>
      </w:tr>
      <w:tr>
        <w:trPr/>
        <w:tc>
          <w:tcPr>
            <w:tcW w:w="1047"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PS-RH</w:t>
            </w:r>
          </w:p>
        </w:tc>
        <w:tc>
          <w:tcPr>
            <w:tcW w:w="3050"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Gestion des compétences et de la participation</w:t>
            </w:r>
          </w:p>
        </w:tc>
        <w:tc>
          <w:tcPr>
            <w:tcW w:w="1602"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Support</w:t>
            </w:r>
          </w:p>
        </w:tc>
        <w:tc>
          <w:tcPr>
            <w:tcW w:w="1825"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§7.2 · §7.3 · §5.4</w:t>
            </w:r>
          </w:p>
        </w:tc>
        <w:tc>
          <w:tcPr>
            <w:tcW w:w="1502"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PS-RH-Fiche-Processus</w:t>
            </w:r>
          </w:p>
        </w:tc>
      </w:tr>
      <w:tr>
        <w:trPr/>
        <w:tc>
          <w:tcPr>
            <w:tcW w:w="1047" w:type="dxa"/>
            <w:tcBorders>
              <w:top w:val="single" w:sz="2" w:space="0" w:color="D9D9D9"/>
              <w:left w:val="single" w:sz="2" w:space="0" w:color="BFBFBF"/>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PS-EQU</w:t>
            </w:r>
          </w:p>
        </w:tc>
        <w:tc>
          <w:tcPr>
            <w:tcW w:w="3050"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Gestion des ressources et infrastructures</w:t>
            </w:r>
          </w:p>
        </w:tc>
        <w:tc>
          <w:tcPr>
            <w:tcW w:w="1602"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Support</w:t>
            </w:r>
          </w:p>
        </w:tc>
        <w:tc>
          <w:tcPr>
            <w:tcW w:w="1825" w:type="dxa"/>
            <w:tcBorders>
              <w:top w:val="single" w:sz="2" w:space="0" w:color="D9D9D9"/>
              <w:left w:val="single" w:sz="2" w:space="0" w:color="D9D9D9"/>
              <w:bottom w:val="single" w:sz="2" w:space="0" w:color="D9D9D9"/>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§8.1</w:t>
            </w:r>
          </w:p>
        </w:tc>
        <w:tc>
          <w:tcPr>
            <w:tcW w:w="1502" w:type="dxa"/>
            <w:tcBorders>
              <w:top w:val="single" w:sz="2" w:space="0" w:color="D9D9D9"/>
              <w:left w:val="single" w:sz="2" w:space="0" w:color="D9D9D9"/>
              <w:bottom w:val="single" w:sz="2" w:space="0" w:color="D9D9D9"/>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PS-EQU-Fiche-Processus</w:t>
            </w:r>
          </w:p>
        </w:tc>
      </w:tr>
      <w:tr>
        <w:trPr/>
        <w:tc>
          <w:tcPr>
            <w:tcW w:w="1047" w:type="dxa"/>
            <w:tcBorders>
              <w:top w:val="single" w:sz="2" w:space="0" w:color="D9D9D9"/>
              <w:left w:val="single" w:sz="2" w:space="0" w:color="BFBFBF"/>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PS-REG</w:t>
            </w:r>
          </w:p>
        </w:tc>
        <w:tc>
          <w:tcPr>
            <w:tcW w:w="3050"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Veille et conformité (exigences légales)</w:t>
            </w:r>
          </w:p>
        </w:tc>
        <w:tc>
          <w:tcPr>
            <w:tcW w:w="1602"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Support</w:t>
            </w:r>
          </w:p>
        </w:tc>
        <w:tc>
          <w:tcPr>
            <w:tcW w:w="1825"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§6.1.3 · §9.1.2</w:t>
            </w:r>
          </w:p>
        </w:tc>
        <w:tc>
          <w:tcPr>
            <w:tcW w:w="1502" w:type="dxa"/>
            <w:tcBorders>
              <w:top w:val="single" w:sz="2" w:space="0" w:color="D9D9D9"/>
              <w:left w:val="single" w:sz="2" w:space="0" w:color="D9D9D9"/>
              <w:bottom w:val="single" w:sz="2" w:space="0" w:color="D9D9D9"/>
              <w:right w:val="single" w:sz="2" w:space="0" w:color="BFBFBF"/>
            </w:tcBorders>
            <w:shd w:fill="FFFFFF" w:val="clear"/>
            <w:vAlign w:val="center"/>
          </w:tcPr>
          <w:p>
            <w:pPr>
              <w:pStyle w:val="Normal"/>
              <w:spacing w:lineRule="exact" w:line="252" w:before="0" w:after="0"/>
              <w:jc w:val="left"/>
              <w:rPr/>
            </w:pPr>
            <w:r>
              <w:rPr>
                <w:rFonts w:eastAsia="Arial" w:cs="Arial"/>
                <w:b w:val="false"/>
                <w:bCs w:val="false"/>
                <w:color w:val="222222"/>
                <w:sz w:val="19"/>
                <w:szCs w:val="19"/>
              </w:rPr>
              <w:t>PS-REG-Fiche-Processus</w:t>
            </w:r>
          </w:p>
        </w:tc>
      </w:tr>
      <w:tr>
        <w:trPr/>
        <w:tc>
          <w:tcPr>
            <w:tcW w:w="1047" w:type="dxa"/>
            <w:tcBorders>
              <w:top w:val="single" w:sz="2" w:space="0" w:color="D9D9D9"/>
              <w:left w:val="single" w:sz="2" w:space="0" w:color="BFBFBF"/>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PS-COM</w:t>
            </w:r>
          </w:p>
        </w:tc>
        <w:tc>
          <w:tcPr>
            <w:tcW w:w="3050" w:type="dxa"/>
            <w:tcBorders>
              <w:top w:val="single" w:sz="2" w:space="0" w:color="D9D9D9"/>
              <w:left w:val="single" w:sz="2" w:space="0" w:color="D9D9D9"/>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Communication et maîtrise de l'information documentée</w:t>
            </w:r>
          </w:p>
        </w:tc>
        <w:tc>
          <w:tcPr>
            <w:tcW w:w="1602" w:type="dxa"/>
            <w:tcBorders>
              <w:top w:val="single" w:sz="2" w:space="0" w:color="D9D9D9"/>
              <w:left w:val="single" w:sz="2" w:space="0" w:color="D9D9D9"/>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Support</w:t>
            </w:r>
          </w:p>
        </w:tc>
        <w:tc>
          <w:tcPr>
            <w:tcW w:w="1825" w:type="dxa"/>
            <w:tcBorders>
              <w:top w:val="single" w:sz="2" w:space="0" w:color="D9D9D9"/>
              <w:left w:val="single" w:sz="2" w:space="0" w:color="D9D9D9"/>
              <w:bottom w:val="single" w:sz="2" w:space="0" w:color="BFBFBF"/>
              <w:right w:val="single" w:sz="2" w:space="0" w:color="D9D9D9"/>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§7.4 · §7.5</w:t>
            </w:r>
          </w:p>
        </w:tc>
        <w:tc>
          <w:tcPr>
            <w:tcW w:w="1502" w:type="dxa"/>
            <w:tcBorders>
              <w:top w:val="single" w:sz="2" w:space="0" w:color="D9D9D9"/>
              <w:left w:val="single" w:sz="2" w:space="0" w:color="D9D9D9"/>
              <w:bottom w:val="single" w:sz="2" w:space="0" w:color="BFBFBF"/>
              <w:right w:val="single" w:sz="2" w:space="0" w:color="BFBFBF"/>
            </w:tcBorders>
            <w:shd w:fill="F2F2F2" w:val="clear"/>
            <w:vAlign w:val="center"/>
          </w:tcPr>
          <w:p>
            <w:pPr>
              <w:pStyle w:val="Normal"/>
              <w:spacing w:lineRule="exact" w:line="252" w:before="0" w:after="0"/>
              <w:jc w:val="left"/>
              <w:rPr/>
            </w:pPr>
            <w:r>
              <w:rPr>
                <w:rFonts w:eastAsia="Arial" w:cs="Arial"/>
                <w:b w:val="false"/>
                <w:bCs w:val="false"/>
                <w:color w:val="222222"/>
                <w:sz w:val="19"/>
                <w:szCs w:val="19"/>
              </w:rPr>
              <w:t>PS-COM-Fiche-Processus</w:t>
            </w:r>
          </w:p>
        </w:tc>
      </w:tr>
    </w:tbl>
    <w:p>
      <w:pPr>
        <w:pStyle w:val="Normal"/>
        <w:rPr/>
      </w:pPr>
      <w:r>
        <w:rPr/>
      </w:r>
    </w:p>
    <w:p>
      <w:pPr>
        <w:pStyle w:val="Normal"/>
        <w:rPr/>
      </w:pPr>
      <w:r>
        <w:rPr>
          <w:sz w:val="22"/>
        </w:rPr>
        <w:t>Tableau récapitulatif des 10 processus du SMSST avec leur pilote, leur périmètre principal et leur référence dans la norme ISO 45001:2018 :</w:t>
      </w:r>
    </w:p>
    <w:p>
      <w:pPr>
        <w:pStyle w:val="Normal"/>
        <w:rPr/>
      </w:pPr>
      <w:r>
        <w:rPr/>
      </w:r>
    </w:p>
    <w:p>
      <w:pPr>
        <w:pStyle w:val="Normal"/>
        <w:ind w:left="454"/>
        <w:rPr/>
      </w:pPr>
      <w:r>
        <w:rPr>
          <w:sz w:val="22"/>
        </w:rPr>
        <w:t xml:space="preserve">•  </w:t>
      </w:r>
      <w:r>
        <w:rPr>
          <w:sz w:val="22"/>
        </w:rPr>
        <w:t>PM-DIR (Pilotage) — Leadership et pilotage du système. Pilote : Direction générale. Clauses ISO : §4, §5.1, §5.2, §5.3, §6.2, §9.3.</w:t>
      </w:r>
    </w:p>
    <w:p>
      <w:pPr>
        <w:pStyle w:val="Normal"/>
        <w:ind w:left="454"/>
        <w:rPr/>
      </w:pPr>
      <w:r>
        <w:rPr>
          <w:sz w:val="22"/>
        </w:rPr>
        <w:t xml:space="preserve">•  </w:t>
      </w:r>
      <w:r>
        <w:rPr>
          <w:sz w:val="22"/>
        </w:rPr>
        <w:t>PS-RH (Support) — Gestion des compétences et de la participation. Pilote : Direction RH + Pilote SST. Clauses ISO : §5.4, §7.2, §7.3.</w:t>
      </w:r>
    </w:p>
    <w:p>
      <w:pPr>
        <w:pStyle w:val="Normal"/>
        <w:ind w:left="454"/>
        <w:rPr/>
      </w:pPr>
      <w:r>
        <w:rPr>
          <w:sz w:val="22"/>
        </w:rPr>
        <w:t xml:space="preserve">•  </w:t>
      </w:r>
      <w:r>
        <w:rPr>
          <w:sz w:val="22"/>
        </w:rPr>
        <w:t>PS-COM (Support) — Communication et maîtrise de l'information documentée. Pilote : Pilote SST + Communication. Clauses ISO : §7.4, §7.5.</w:t>
      </w:r>
    </w:p>
    <w:p>
      <w:pPr>
        <w:pStyle w:val="Normal"/>
        <w:ind w:left="454"/>
        <w:rPr/>
      </w:pPr>
      <w:r>
        <w:rPr>
          <w:sz w:val="22"/>
        </w:rPr>
        <w:t xml:space="preserve">•  </w:t>
      </w:r>
      <w:r>
        <w:rPr>
          <w:sz w:val="22"/>
        </w:rPr>
        <w:t>PC-PREP (Réalisation) — Évaluation et maîtrise des risques professionnels. Pilote : Pilote SST + Encadrement. Clauses ISO : §6.1.1, §6.1.2, §8.1.2.</w:t>
      </w:r>
    </w:p>
    <w:p>
      <w:pPr>
        <w:pStyle w:val="Normal"/>
        <w:ind w:left="454"/>
        <w:rPr/>
      </w:pPr>
      <w:r>
        <w:rPr>
          <w:sz w:val="22"/>
        </w:rPr>
        <w:t xml:space="preserve">•  </w:t>
      </w:r>
      <w:r>
        <w:rPr>
          <w:sz w:val="22"/>
        </w:rPr>
        <w:t>PC-CHA (Réalisation) — Maîtrise opérationnelle. Pilote : Encadrement opérationnel. Clauses ISO : §8.1, §8.1.2.</w:t>
      </w:r>
    </w:p>
    <w:p>
      <w:pPr>
        <w:pStyle w:val="Normal"/>
        <w:ind w:left="454"/>
        <w:rPr/>
      </w:pPr>
      <w:r>
        <w:rPr>
          <w:sz w:val="22"/>
        </w:rPr>
        <w:t xml:space="preserve">•  </w:t>
      </w:r>
      <w:r>
        <w:rPr>
          <w:sz w:val="22"/>
        </w:rPr>
        <w:t>PS-ACH (Support) — Achats et maîtrise des prestataires externes. Pilote : Achats + Pilote SST. Clauses ISO : §8.1.4.</w:t>
      </w:r>
    </w:p>
    <w:p>
      <w:pPr>
        <w:pStyle w:val="Normal"/>
        <w:ind w:left="454"/>
        <w:rPr/>
      </w:pPr>
      <w:r>
        <w:rPr>
          <w:sz w:val="22"/>
        </w:rPr>
        <w:t xml:space="preserve">•  </w:t>
      </w:r>
      <w:r>
        <w:rPr>
          <w:sz w:val="22"/>
        </w:rPr>
        <w:t>PS-EQU (Support) — Gestion des ressources et infrastructures. Pilote : Maintenance + Pilote SST. Clauses ISO : §7.1, §8.1.</w:t>
      </w:r>
    </w:p>
    <w:p>
      <w:pPr>
        <w:pStyle w:val="Normal"/>
        <w:ind w:left="454"/>
        <w:rPr/>
      </w:pPr>
      <w:r>
        <w:rPr>
          <w:sz w:val="22"/>
        </w:rPr>
        <w:t xml:space="preserve">•  </w:t>
      </w:r>
      <w:r>
        <w:rPr>
          <w:sz w:val="22"/>
        </w:rPr>
        <w:t>PC-URG (Réalisation) — Préparation et réponse aux situations d'urgence. Pilote : Sécurité + Pilote SST. Clauses ISO : §8.2.</w:t>
      </w:r>
    </w:p>
    <w:p>
      <w:pPr>
        <w:pStyle w:val="Normal"/>
        <w:ind w:left="454"/>
        <w:rPr/>
      </w:pPr>
      <w:r>
        <w:rPr>
          <w:sz w:val="22"/>
        </w:rPr>
        <w:t xml:space="preserve">•  </w:t>
      </w:r>
      <w:r>
        <w:rPr>
          <w:sz w:val="22"/>
        </w:rPr>
        <w:t>PS-REG (Support) — Veille et conformité (exigences légales). Pilote : Juridique + Pilote SST. Clauses ISO : §6.1.3, §9.1.2.</w:t>
      </w:r>
    </w:p>
    <w:p>
      <w:pPr>
        <w:pStyle w:val="Normal"/>
        <w:ind w:left="454"/>
        <w:rPr/>
      </w:pPr>
      <w:r>
        <w:rPr>
          <w:sz w:val="22"/>
        </w:rPr>
        <w:t xml:space="preserve">•  </w:t>
      </w:r>
      <w:r>
        <w:rPr>
          <w:sz w:val="22"/>
        </w:rPr>
        <w:t>PM-AME (Amélioration) — Surveillance, mesure et amélioration continue. Pilote : Pilote SST. Clauses ISO : §9.1, §9.2, §10.1, §10.2, §10.3.</w:t>
      </w:r>
    </w:p>
    <w:p>
      <w:pPr>
        <w:pStyle w:val="Normal"/>
        <w:rPr/>
      </w:pPr>
      <w:r>
        <w:rPr/>
      </w:r>
    </w:p>
    <w:p>
      <w:pPr>
        <w:pStyle w:val="Normal"/>
        <w:rPr/>
      </w:pPr>
      <w:r>
        <w:rPr>
          <w:sz w:val="22"/>
        </w:rPr>
        <w:t>Chaque processus fait l'objet d'une fiche processus détaillée (dossier 02_Fiches_Processus) décrivant sa finalité, ses activités clés, ses ressources, ses indicateurs, ses risques et ses interactions.</w:t>
      </w:r>
    </w:p>
    <w:p>
      <w:pPr>
        <w:pStyle w:val="Heading1"/>
        <w:pBdr>
          <w:bottom w:val="single" w:sz="12" w:space="4" w:color="4F9B3E"/>
        </w:pBdr>
        <w:spacing w:before="260" w:after="140"/>
        <w:rPr/>
      </w:pPr>
      <w:r>
        <w:rPr>
          <w:rFonts w:eastAsia="Arial" w:cs="Arial" w:ascii="Arial" w:hAnsi="Arial"/>
          <w:b/>
          <w:bCs/>
          <w:color w:val="1F4E79"/>
          <w:sz w:val="28"/>
          <w:szCs w:val="28"/>
        </w:rPr>
        <w:t>4. Séquence et interactions</w:t>
      </w:r>
    </w:p>
    <w:p>
      <w:pPr>
        <w:pStyle w:val="Normal"/>
        <w:spacing w:lineRule="exact" w:line="276" w:before="0" w:after="120"/>
        <w:jc w:val="both"/>
        <w:rPr/>
      </w:pPr>
      <w:r>
        <w:rPr>
          <w:rFonts w:eastAsia="Arial" w:cs="Arial"/>
          <w:b w:val="false"/>
          <w:bCs w:val="false"/>
          <w:i w:val="false"/>
          <w:iCs w:val="false"/>
          <w:color w:val="222222"/>
          <w:sz w:val="20"/>
          <w:szCs w:val="20"/>
        </w:rPr>
        <w:t>Les processus fonctionnent en système :</w:t>
      </w:r>
    </w:p>
    <w:p>
      <w:pPr>
        <w:pStyle w:val="ListParagraph"/>
        <w:numPr>
          <w:ilvl w:val="0"/>
          <w:numId w:val="5"/>
        </w:numPr>
        <w:spacing w:lineRule="exact" w:line="264" w:before="0" w:after="60"/>
        <w:rPr/>
      </w:pPr>
      <w:r>
        <w:rPr>
          <w:rFonts w:eastAsia="Arial" w:cs="Arial"/>
          <w:b/>
          <w:bCs/>
          <w:i w:val="false"/>
          <w:iCs w:val="false"/>
          <w:color w:val="222222"/>
          <w:sz w:val="20"/>
          <w:szCs w:val="20"/>
        </w:rPr>
        <w:t xml:space="preserve">Management : </w:t>
      </w:r>
      <w:r>
        <w:rPr>
          <w:rFonts w:eastAsia="Arial" w:cs="Arial"/>
          <w:b w:val="false"/>
          <w:bCs w:val="false"/>
          <w:i w:val="false"/>
          <w:iCs w:val="false"/>
          <w:color w:val="222222"/>
          <w:sz w:val="20"/>
          <w:szCs w:val="20"/>
        </w:rPr>
        <w:t>PM-DIR fixe le cap ; PM-AME mesure, audite et pilote l'amélioration.</w:t>
      </w:r>
    </w:p>
    <w:p>
      <w:pPr>
        <w:pStyle w:val="ListParagraph"/>
        <w:numPr>
          <w:ilvl w:val="0"/>
          <w:numId w:val="6"/>
        </w:numPr>
        <w:spacing w:lineRule="exact" w:line="264" w:before="0" w:after="60"/>
        <w:rPr/>
      </w:pPr>
      <w:r>
        <w:rPr>
          <w:rFonts w:eastAsia="Arial" w:cs="Arial"/>
          <w:b/>
          <w:bCs/>
          <w:i w:val="false"/>
          <w:iCs w:val="false"/>
          <w:color w:val="222222"/>
          <w:sz w:val="20"/>
          <w:szCs w:val="20"/>
        </w:rPr>
        <w:t xml:space="preserve">Réalisation : </w:t>
      </w:r>
      <w:r>
        <w:rPr>
          <w:rFonts w:eastAsia="Arial" w:cs="Arial"/>
          <w:b w:val="false"/>
          <w:bCs w:val="false"/>
          <w:i w:val="false"/>
          <w:iCs w:val="false"/>
          <w:color w:val="222222"/>
          <w:sz w:val="20"/>
          <w:szCs w:val="20"/>
        </w:rPr>
        <w:t>PC-PREP prépare et évalue les travaux ; PC-CHA les réalise en sécurité ; PC-URG gère les urgences.</w:t>
      </w:r>
    </w:p>
    <w:p>
      <w:pPr>
        <w:pStyle w:val="ListParagraph"/>
        <w:numPr>
          <w:ilvl w:val="0"/>
          <w:numId w:val="7"/>
        </w:numPr>
        <w:spacing w:lineRule="exact" w:line="264" w:before="0" w:after="60"/>
        <w:rPr/>
      </w:pPr>
      <w:r>
        <w:rPr>
          <w:rFonts w:eastAsia="Arial" w:cs="Arial"/>
          <w:b/>
          <w:bCs/>
          <w:i w:val="false"/>
          <w:iCs w:val="false"/>
          <w:color w:val="222222"/>
          <w:sz w:val="20"/>
          <w:szCs w:val="20"/>
        </w:rPr>
        <w:t xml:space="preserve">Support : </w:t>
      </w:r>
      <w:r>
        <w:rPr>
          <w:rFonts w:eastAsia="Arial" w:cs="Arial"/>
          <w:b w:val="false"/>
          <w:bCs w:val="false"/>
          <w:i w:val="false"/>
          <w:iCs w:val="false"/>
          <w:color w:val="222222"/>
          <w:sz w:val="20"/>
          <w:szCs w:val="20"/>
        </w:rPr>
        <w:t>PS-ACH (achats/sous-traitants), PS-RH (compétences/participation), PS-EQU (équipements/EPI), PS-REG (veille/conformité) et PS-COM (communication/documentation) soutiennent l'ensemble.</w:t>
      </w:r>
    </w:p>
    <w:p>
      <w:pPr>
        <w:pStyle w:val="Normal"/>
        <w:rPr/>
      </w:pPr>
      <w:r>
        <w:rPr/>
      </w:r>
    </w:p>
    <w:p>
      <w:pPr>
        <w:pStyle w:val="Normal"/>
        <w:rPr/>
      </w:pPr>
      <w:r>
        <w:rPr>
          <w:sz w:val="22"/>
        </w:rPr>
        <w:t>Les processus du SMSST ne fonctionnent pas de manière isolée : leurs interactions constituent la valeur ajoutée du système global. Les principales interactions sont détaillées ci-après.</w:t>
      </w:r>
    </w:p>
    <w:p>
      <w:pPr>
        <w:pStyle w:val="Normal"/>
        <w:rPr/>
      </w:pPr>
      <w:r>
        <w:rPr/>
      </w:r>
    </w:p>
    <w:p>
      <w:pPr>
        <w:pStyle w:val="Heading2"/>
        <w:rPr/>
      </w:pPr>
      <w:r>
        <w:rPr>
          <w:rFonts w:ascii="Arial" w:hAnsi="Arial"/>
          <w:b/>
          <w:color w:val="1F4E79"/>
          <w:sz w:val="24"/>
        </w:rPr>
        <w:t>4.1  Le processus de pilotage : chef d'orchestre</w:t>
      </w:r>
    </w:p>
    <w:p>
      <w:pPr>
        <w:pStyle w:val="Normal"/>
        <w:rPr/>
      </w:pPr>
      <w:r>
        <w:rPr>
          <w:sz w:val="22"/>
        </w:rPr>
        <w:t>PM-DIR est en interaction avec l'ensemble des 9 autres processus. Il leur donne :</w:t>
      </w:r>
    </w:p>
    <w:p>
      <w:pPr>
        <w:pStyle w:val="Normal"/>
        <w:ind w:left="454"/>
        <w:rPr/>
      </w:pPr>
      <w:r>
        <w:rPr>
          <w:sz w:val="22"/>
        </w:rPr>
        <w:t xml:space="preserve">•  </w:t>
      </w:r>
      <w:r>
        <w:rPr>
          <w:sz w:val="22"/>
        </w:rPr>
        <w:t>L'orientation stratégique (politique, objectifs).</w:t>
      </w:r>
    </w:p>
    <w:p>
      <w:pPr>
        <w:pStyle w:val="Normal"/>
        <w:ind w:left="454"/>
        <w:rPr/>
      </w:pPr>
      <w:r>
        <w:rPr>
          <w:sz w:val="22"/>
        </w:rPr>
        <w:t xml:space="preserve">•  </w:t>
      </w:r>
      <w:r>
        <w:rPr>
          <w:sz w:val="22"/>
        </w:rPr>
        <w:t>Les ressources allouées (budgets, effectifs).</w:t>
      </w:r>
    </w:p>
    <w:p>
      <w:pPr>
        <w:pStyle w:val="Normal"/>
        <w:ind w:left="454"/>
        <w:rPr/>
      </w:pPr>
      <w:r>
        <w:rPr>
          <w:sz w:val="22"/>
        </w:rPr>
        <w:t xml:space="preserve">•  </w:t>
      </w:r>
      <w:r>
        <w:rPr>
          <w:sz w:val="22"/>
        </w:rPr>
        <w:t>Les règles de gouvernance (délégations, arbitrages).</w:t>
      </w:r>
    </w:p>
    <w:p>
      <w:pPr>
        <w:pStyle w:val="Normal"/>
        <w:rPr/>
      </w:pPr>
      <w:r>
        <w:rPr>
          <w:sz w:val="22"/>
        </w:rPr>
        <w:t>Il reçoit en retour les résultats de performance à travers PM-AME.</w:t>
      </w:r>
    </w:p>
    <w:p>
      <w:pPr>
        <w:pStyle w:val="Normal"/>
        <w:rPr/>
      </w:pPr>
      <w:r>
        <w:rPr/>
      </w:r>
    </w:p>
    <w:p>
      <w:pPr>
        <w:pStyle w:val="Heading2"/>
        <w:rPr/>
      </w:pPr>
      <w:r>
        <w:rPr>
          <w:rFonts w:ascii="Arial" w:hAnsi="Arial"/>
          <w:b/>
          <w:color w:val="1F4E79"/>
          <w:sz w:val="24"/>
        </w:rPr>
        <w:t>4.2  Le trio IPER → Réalisation → Amélioration (cycle PDCA opérationnel)</w:t>
      </w:r>
    </w:p>
    <w:p>
      <w:pPr>
        <w:pStyle w:val="Normal"/>
        <w:rPr/>
      </w:pPr>
      <w:r>
        <w:rPr>
          <w:sz w:val="22"/>
        </w:rPr>
        <w:t>Le cœur opérationnel du SMSST repose sur une boucle rétroactive :</w:t>
      </w:r>
    </w:p>
    <w:p>
      <w:pPr>
        <w:pStyle w:val="Normal"/>
        <w:ind w:left="454"/>
        <w:rPr/>
      </w:pPr>
      <w:r>
        <w:rPr>
          <w:sz w:val="22"/>
        </w:rPr>
        <w:t xml:space="preserve">•  </w:t>
      </w:r>
      <w:r>
        <w:rPr>
          <w:sz w:val="22"/>
        </w:rPr>
        <w:t>PC-PREP (Plan) identifie les dangers et définit les mesures de maîtrise.</w:t>
      </w:r>
    </w:p>
    <w:p>
      <w:pPr>
        <w:pStyle w:val="Normal"/>
        <w:ind w:left="454"/>
        <w:rPr/>
      </w:pPr>
      <w:r>
        <w:rPr>
          <w:sz w:val="22"/>
        </w:rPr>
        <w:t xml:space="preserve">•  </w:t>
      </w:r>
      <w:r>
        <w:rPr>
          <w:sz w:val="22"/>
        </w:rPr>
        <w:t>PC-CHA (Do) réalise les travaux selon ces mesures et remonte les événements terrain.</w:t>
      </w:r>
    </w:p>
    <w:p>
      <w:pPr>
        <w:pStyle w:val="Normal"/>
        <w:ind w:left="454"/>
        <w:rPr/>
      </w:pPr>
      <w:r>
        <w:rPr>
          <w:sz w:val="22"/>
        </w:rPr>
        <w:t xml:space="preserve">•  </w:t>
      </w:r>
      <w:r>
        <w:rPr>
          <w:sz w:val="22"/>
        </w:rPr>
        <w:t>PM-AME (Check) analyse les résultats, les incidents et les non-conformités.</w:t>
      </w:r>
    </w:p>
    <w:p>
      <w:pPr>
        <w:pStyle w:val="Normal"/>
        <w:ind w:left="454"/>
        <w:rPr/>
      </w:pPr>
      <w:r>
        <w:rPr>
          <w:sz w:val="22"/>
        </w:rPr>
        <w:t xml:space="preserve">•  </w:t>
      </w:r>
      <w:r>
        <w:rPr>
          <w:sz w:val="22"/>
        </w:rPr>
        <w:t>Les enseignements alimentent l'actualisation de l'IPER (Act) et la préparation des travaux suivants.</w:t>
      </w:r>
    </w:p>
    <w:p>
      <w:pPr>
        <w:pStyle w:val="Normal"/>
        <w:rPr/>
      </w:pPr>
      <w:r>
        <w:rPr/>
      </w:r>
    </w:p>
    <w:p>
      <w:pPr>
        <w:pStyle w:val="Heading2"/>
        <w:rPr/>
      </w:pPr>
      <w:r>
        <w:rPr>
          <w:rFonts w:ascii="Arial" w:hAnsi="Arial"/>
          <w:b/>
          <w:color w:val="1F4E79"/>
          <w:sz w:val="24"/>
        </w:rPr>
        <w:t>4.3  Les processus support : au service de la réalisation</w:t>
      </w:r>
    </w:p>
    <w:p>
      <w:pPr>
        <w:pStyle w:val="Normal"/>
        <w:rPr/>
      </w:pPr>
      <w:r>
        <w:rPr>
          <w:sz w:val="22"/>
        </w:rPr>
        <w:t>Les 5 processus support (PS-RH, PS-COM, PS-EQU, PS-ACH, PS-REG) fournissent aux processus de réalisation :</w:t>
      </w:r>
    </w:p>
    <w:p>
      <w:pPr>
        <w:pStyle w:val="Normal"/>
        <w:ind w:left="454"/>
        <w:rPr/>
      </w:pPr>
      <w:r>
        <w:rPr>
          <w:sz w:val="22"/>
        </w:rPr>
        <w:t xml:space="preserve">•  </w:t>
      </w:r>
      <w:r>
        <w:rPr>
          <w:sz w:val="22"/>
        </w:rPr>
        <w:t>PS-RH : compétences, sensibilisation, participation.</w:t>
      </w:r>
    </w:p>
    <w:p>
      <w:pPr>
        <w:pStyle w:val="Normal"/>
        <w:ind w:left="454"/>
        <w:rPr/>
      </w:pPr>
      <w:r>
        <w:rPr>
          <w:sz w:val="22"/>
        </w:rPr>
        <w:t xml:space="preserve">•  </w:t>
      </w:r>
      <w:r>
        <w:rPr>
          <w:sz w:val="22"/>
        </w:rPr>
        <w:t>PS-COM : information documentée, communication.</w:t>
      </w:r>
    </w:p>
    <w:p>
      <w:pPr>
        <w:pStyle w:val="Normal"/>
        <w:ind w:left="454"/>
        <w:rPr/>
      </w:pPr>
      <w:r>
        <w:rPr>
          <w:sz w:val="22"/>
        </w:rPr>
        <w:t xml:space="preserve">•  </w:t>
      </w:r>
      <w:r>
        <w:rPr>
          <w:sz w:val="22"/>
        </w:rPr>
        <w:t>PS-EQU : équipements, EPI, contrôles.</w:t>
      </w:r>
    </w:p>
    <w:p>
      <w:pPr>
        <w:pStyle w:val="Normal"/>
        <w:ind w:left="454"/>
        <w:rPr/>
      </w:pPr>
      <w:r>
        <w:rPr>
          <w:sz w:val="22"/>
        </w:rPr>
        <w:t xml:space="preserve">•  </w:t>
      </w:r>
      <w:r>
        <w:rPr>
          <w:sz w:val="22"/>
        </w:rPr>
        <w:t>PS-ACH : sous-traitants qualifiés, achats conformes.</w:t>
      </w:r>
    </w:p>
    <w:p>
      <w:pPr>
        <w:pStyle w:val="Normal"/>
        <w:ind w:left="454"/>
        <w:rPr/>
      </w:pPr>
      <w:r>
        <w:rPr>
          <w:sz w:val="22"/>
        </w:rPr>
        <w:t xml:space="preserve">•  </w:t>
      </w:r>
      <w:r>
        <w:rPr>
          <w:sz w:val="22"/>
        </w:rPr>
        <w:t>PS-REG : cadre réglementaire à jour.</w:t>
      </w:r>
    </w:p>
    <w:p>
      <w:pPr>
        <w:pStyle w:val="Normal"/>
        <w:rPr/>
      </w:pPr>
      <w:r>
        <w:rPr/>
      </w:r>
    </w:p>
    <w:p>
      <w:pPr>
        <w:pStyle w:val="Heading2"/>
        <w:rPr/>
      </w:pPr>
      <w:r>
        <w:rPr>
          <w:rFonts w:ascii="Arial" w:hAnsi="Arial"/>
          <w:b/>
          <w:color w:val="1F4E79"/>
          <w:sz w:val="24"/>
        </w:rPr>
        <w:t>4.4  Interactions transverses : les activités clés à coordonner</w:t>
      </w:r>
    </w:p>
    <w:p>
      <w:pPr>
        <w:pStyle w:val="Normal"/>
        <w:rPr/>
      </w:pPr>
      <w:r>
        <w:rPr>
          <w:sz w:val="22"/>
        </w:rPr>
        <w:t>Certaines activités mobilisent plusieurs processus simultanément et exigent une coordination formelle :</w:t>
      </w:r>
    </w:p>
    <w:p>
      <w:pPr>
        <w:pStyle w:val="Normal"/>
        <w:ind w:left="454"/>
        <w:rPr/>
      </w:pPr>
      <w:r>
        <w:rPr>
          <w:sz w:val="22"/>
        </w:rPr>
        <w:t xml:space="preserve">•  </w:t>
      </w:r>
      <w:r>
        <w:rPr>
          <w:sz w:val="22"/>
        </w:rPr>
        <w:t>L'accueil d'un nouveau travailleur : PS-RH (accueil formel), PS-COM (documentation), PC-PREP (IPER du poste), PC-CHA (encadrement).</w:t>
      </w:r>
    </w:p>
    <w:p>
      <w:pPr>
        <w:pStyle w:val="Normal"/>
        <w:ind w:left="454"/>
        <w:rPr/>
      </w:pPr>
      <w:r>
        <w:rPr>
          <w:sz w:val="22"/>
        </w:rPr>
        <w:t xml:space="preserve">•  </w:t>
      </w:r>
      <w:r>
        <w:rPr>
          <w:sz w:val="22"/>
        </w:rPr>
        <w:t>L'introduction d'un nouvel équipement : PS-ACH (spécification et achat), PS-EQU (mise en service), PC-PREP (nouvelle IPER), PS-RH (formation).</w:t>
      </w:r>
    </w:p>
    <w:p>
      <w:pPr>
        <w:pStyle w:val="Normal"/>
        <w:ind w:left="454"/>
        <w:rPr/>
      </w:pPr>
      <w:r>
        <w:rPr>
          <w:sz w:val="22"/>
        </w:rPr>
        <w:t xml:space="preserve">•  </w:t>
      </w:r>
      <w:r>
        <w:rPr>
          <w:sz w:val="22"/>
        </w:rPr>
        <w:t>La survenue d'un événement : PC-CHA (déclaration), PC-URG (secours), PM-AME (analyse causale), PS-COM (retour d'expérience), PC-PREP (actualisation IPER).</w:t>
      </w:r>
    </w:p>
    <w:p>
      <w:pPr>
        <w:pStyle w:val="Normal"/>
        <w:ind w:left="454"/>
        <w:rPr/>
      </w:pPr>
      <w:r>
        <w:rPr>
          <w:sz w:val="22"/>
        </w:rPr>
        <w:t xml:space="preserve">•  </w:t>
      </w:r>
      <w:r>
        <w:rPr>
          <w:sz w:val="22"/>
        </w:rPr>
        <w:t>L'intervention d'un sous-traitant : PS-ACH (sélection contractuelle), PS-RH (accueil SST), PC-PREP (plan de prévention), PC-CHA (supervision).</w:t>
      </w:r>
    </w:p>
    <w:p>
      <w:pPr>
        <w:pStyle w:val="Heading1"/>
        <w:pBdr>
          <w:bottom w:val="single" w:sz="12" w:space="4" w:color="4F9B3E"/>
        </w:pBdr>
        <w:spacing w:before="260" w:after="140"/>
        <w:rPr/>
      </w:pPr>
      <w:r>
        <w:rPr>
          <w:rFonts w:eastAsia="Arial" w:cs="Arial" w:ascii="Arial" w:hAnsi="Arial"/>
          <w:b/>
          <w:bCs/>
          <w:color w:val="1F4E79"/>
          <w:sz w:val="28"/>
          <w:szCs w:val="28"/>
        </w:rPr>
        <w:t>5. Lecture PDCA</w:t>
      </w:r>
    </w:p>
    <w:p>
      <w:pPr>
        <w:pStyle w:val="Normal"/>
        <w:spacing w:lineRule="exact" w:line="276" w:before="0" w:after="120"/>
        <w:jc w:val="both"/>
        <w:rPr/>
      </w:pPr>
      <w:r>
        <w:rPr>
          <w:rFonts w:eastAsia="Arial" w:cs="Arial"/>
          <w:b w:val="false"/>
          <w:bCs w:val="false"/>
          <w:i w:val="false"/>
          <w:iCs w:val="false"/>
          <w:color w:val="222222"/>
          <w:sz w:val="20"/>
          <w:szCs w:val="20"/>
        </w:rPr>
        <w:t>Planifier (§4-6) : PM-DIR, PC-PREP, PS-REG. Réaliser (§7-8) : PC-CHA, PC-URG, PS-ACH, PS-RH, PS-EQU, PS-COM. Vérifier &amp; Améliorer (§9-10) : PM-AME. Cette dynamique itérative est le moteur du système.</w:t>
      </w:r>
    </w:p>
    <w:p>
      <w:pPr>
        <w:pStyle w:val="Normal"/>
        <w:pBdr>
          <w:top w:val="single" w:sz="6" w:space="0" w:color="F5A623"/>
          <w:left w:val="single" w:sz="18" w:space="0" w:color="F5A623"/>
          <w:bottom w:val="single" w:sz="6" w:space="0" w:color="F5A623"/>
          <w:right w:val="single" w:sz="6" w:space="0" w:color="F5A623"/>
        </w:pBdr>
        <w:shd w:val="clear" w:fill="FDF0D5"/>
        <w:spacing w:before="60" w:after="120"/>
        <w:rPr/>
      </w:pPr>
      <w:r>
        <w:rPr>
          <w:rFonts w:eastAsia="Arial" w:cs="Arial"/>
          <w:b/>
          <w:bCs/>
          <w:color w:val="8A5A00"/>
          <w:sz w:val="19"/>
          <w:szCs w:val="19"/>
        </w:rPr>
        <w:t xml:space="preserve">⚑  </w:t>
      </w:r>
      <w:r>
        <w:rPr>
          <w:rFonts w:eastAsia="Arial" w:cs="Arial"/>
          <w:b/>
          <w:bCs/>
          <w:color w:val="8A5A00"/>
          <w:sz w:val="19"/>
          <w:szCs w:val="19"/>
        </w:rPr>
        <w:t>[À COMPLÉTER : fusionner ou décliner des processus selon la taille de l'organisme (TPE / grand groupe) et le secteur.]</w:t>
      </w:r>
    </w:p>
    <w:p>
      <w:pPr>
        <w:pStyle w:val="Normal"/>
        <w:rPr/>
      </w:pPr>
      <w:r>
        <w:rPr/>
      </w:r>
    </w:p>
    <w:p>
      <w:pPr>
        <w:pStyle w:val="Normal"/>
        <w:rPr/>
      </w:pPr>
      <w:r>
        <w:rPr>
          <w:sz w:val="22"/>
        </w:rPr>
        <w:t>La cartographie des 10 processus s'inscrit dans le cycle Plan-Do-Check-Act (PDCA), principe fondateur de l'amélioration continue commune à tous les systèmes de management ISO :</w:t>
      </w:r>
    </w:p>
    <w:p>
      <w:pPr>
        <w:pStyle w:val="Normal"/>
        <w:rPr/>
      </w:pPr>
      <w:r>
        <w:rPr/>
      </w:r>
    </w:p>
    <w:p>
      <w:pPr>
        <w:pStyle w:val="Heading2"/>
        <w:rPr/>
      </w:pPr>
      <w:r>
        <w:rPr>
          <w:rFonts w:ascii="Arial" w:hAnsi="Arial"/>
          <w:b/>
          <w:color w:val="1F4E79"/>
          <w:sz w:val="24"/>
        </w:rPr>
        <w:t>5.1  PLAN — Planifier</w:t>
      </w:r>
    </w:p>
    <w:p>
      <w:pPr>
        <w:pStyle w:val="Normal"/>
        <w:rPr/>
      </w:pPr>
      <w:r>
        <w:rPr>
          <w:sz w:val="22"/>
        </w:rPr>
        <w:t>Les processus de la phase PLAN définissent le cadre, les objectifs et les mesures :</w:t>
      </w:r>
    </w:p>
    <w:p>
      <w:pPr>
        <w:pStyle w:val="Normal"/>
        <w:ind w:left="454"/>
        <w:rPr/>
      </w:pPr>
      <w:r>
        <w:rPr>
          <w:sz w:val="22"/>
        </w:rPr>
        <w:t xml:space="preserve">•  </w:t>
      </w:r>
      <w:r>
        <w:rPr>
          <w:sz w:val="22"/>
        </w:rPr>
        <w:t>PM-DIR fixe la politique, les objectifs stratégiques, alloue les ressources.</w:t>
      </w:r>
    </w:p>
    <w:p>
      <w:pPr>
        <w:pStyle w:val="Normal"/>
        <w:ind w:left="454"/>
        <w:rPr/>
      </w:pPr>
      <w:r>
        <w:rPr>
          <w:sz w:val="22"/>
        </w:rPr>
        <w:t xml:space="preserve">•  </w:t>
      </w:r>
      <w:r>
        <w:rPr>
          <w:sz w:val="22"/>
        </w:rPr>
        <w:t>PC-PREP identifie les dangers, évalue les risques et définit les mesures de maîtrise.</w:t>
      </w:r>
    </w:p>
    <w:p>
      <w:pPr>
        <w:pStyle w:val="Normal"/>
        <w:ind w:left="454"/>
        <w:rPr/>
      </w:pPr>
      <w:r>
        <w:rPr>
          <w:sz w:val="22"/>
        </w:rPr>
        <w:t xml:space="preserve">•  </w:t>
      </w:r>
      <w:r>
        <w:rPr>
          <w:sz w:val="22"/>
        </w:rPr>
        <w:t>PS-REG identifie les exigences applicables et les traduit en obligations concrètes.</w:t>
      </w:r>
    </w:p>
    <w:p>
      <w:pPr>
        <w:pStyle w:val="Normal"/>
        <w:rPr/>
      </w:pPr>
      <w:r>
        <w:rPr/>
      </w:r>
    </w:p>
    <w:p>
      <w:pPr>
        <w:pStyle w:val="Heading2"/>
        <w:rPr/>
      </w:pPr>
      <w:r>
        <w:rPr>
          <w:rFonts w:ascii="Arial" w:hAnsi="Arial"/>
          <w:b/>
          <w:color w:val="1F4E79"/>
          <w:sz w:val="24"/>
        </w:rPr>
        <w:t>5.2  DO — Mettre en œuvre</w:t>
      </w:r>
    </w:p>
    <w:p>
      <w:pPr>
        <w:pStyle w:val="Normal"/>
        <w:rPr/>
      </w:pPr>
      <w:r>
        <w:rPr>
          <w:sz w:val="22"/>
        </w:rPr>
        <w:t>Les processus DO déploient les moyens et exécutent :</w:t>
      </w:r>
    </w:p>
    <w:p>
      <w:pPr>
        <w:pStyle w:val="Normal"/>
        <w:ind w:left="454"/>
        <w:rPr/>
      </w:pPr>
      <w:r>
        <w:rPr>
          <w:sz w:val="22"/>
        </w:rPr>
        <w:t xml:space="preserve">•  </w:t>
      </w:r>
      <w:r>
        <w:rPr>
          <w:sz w:val="22"/>
        </w:rPr>
        <w:t>PS-RH forme et fait participer les travailleurs.</w:t>
      </w:r>
    </w:p>
    <w:p>
      <w:pPr>
        <w:pStyle w:val="Normal"/>
        <w:ind w:left="454"/>
        <w:rPr/>
      </w:pPr>
      <w:r>
        <w:rPr>
          <w:sz w:val="22"/>
        </w:rPr>
        <w:t xml:space="preserve">•  </w:t>
      </w:r>
      <w:r>
        <w:rPr>
          <w:sz w:val="22"/>
        </w:rPr>
        <w:t>PS-COM diffuse l'information nécessaire aux travailleurs.</w:t>
      </w:r>
    </w:p>
    <w:p>
      <w:pPr>
        <w:pStyle w:val="Normal"/>
        <w:ind w:left="454"/>
        <w:rPr/>
      </w:pPr>
      <w:r>
        <w:rPr>
          <w:sz w:val="22"/>
        </w:rPr>
        <w:t xml:space="preserve">•  </w:t>
      </w:r>
      <w:r>
        <w:rPr>
          <w:sz w:val="22"/>
        </w:rPr>
        <w:t>PS-EQU met à disposition les équipements et EPI.</w:t>
      </w:r>
    </w:p>
    <w:p>
      <w:pPr>
        <w:pStyle w:val="Normal"/>
        <w:ind w:left="454"/>
        <w:rPr/>
      </w:pPr>
      <w:r>
        <w:rPr>
          <w:sz w:val="22"/>
        </w:rPr>
        <w:t xml:space="preserve">•  </w:t>
      </w:r>
      <w:r>
        <w:rPr>
          <w:sz w:val="22"/>
        </w:rPr>
        <w:t>PS-ACH intègre les sous-traitants dans les activités.</w:t>
      </w:r>
    </w:p>
    <w:p>
      <w:pPr>
        <w:pStyle w:val="Normal"/>
        <w:ind w:left="454"/>
        <w:rPr/>
      </w:pPr>
      <w:r>
        <w:rPr>
          <w:sz w:val="22"/>
        </w:rPr>
        <w:t xml:space="preserve">•  </w:t>
      </w:r>
      <w:r>
        <w:rPr>
          <w:sz w:val="22"/>
        </w:rPr>
        <w:t>PC-CHA réalise les travaux en appliquant les consignes.</w:t>
      </w:r>
    </w:p>
    <w:p>
      <w:pPr>
        <w:pStyle w:val="Normal"/>
        <w:ind w:left="454"/>
        <w:rPr/>
      </w:pPr>
      <w:r>
        <w:rPr>
          <w:sz w:val="22"/>
        </w:rPr>
        <w:t xml:space="preserve">•  </w:t>
      </w:r>
      <w:r>
        <w:rPr>
          <w:sz w:val="22"/>
        </w:rPr>
        <w:t>PC-URG intervient en cas de situation d'urgence.</w:t>
      </w:r>
    </w:p>
    <w:p>
      <w:pPr>
        <w:pStyle w:val="Normal"/>
        <w:rPr/>
      </w:pPr>
      <w:r>
        <w:rPr/>
      </w:r>
    </w:p>
    <w:p>
      <w:pPr>
        <w:pStyle w:val="Heading2"/>
        <w:rPr/>
      </w:pPr>
      <w:r>
        <w:rPr>
          <w:rFonts w:ascii="Arial" w:hAnsi="Arial"/>
          <w:b/>
          <w:color w:val="1F4E79"/>
          <w:sz w:val="24"/>
        </w:rPr>
        <w:t>5.3  CHECK — Contrôler</w:t>
      </w:r>
    </w:p>
    <w:p>
      <w:pPr>
        <w:pStyle w:val="Normal"/>
        <w:rPr/>
      </w:pPr>
      <w:r>
        <w:rPr>
          <w:sz w:val="22"/>
        </w:rPr>
        <w:t>Les processus CHECK mesurent et évaluent la performance :</w:t>
      </w:r>
    </w:p>
    <w:p>
      <w:pPr>
        <w:pStyle w:val="Normal"/>
        <w:ind w:left="454"/>
        <w:rPr/>
      </w:pPr>
      <w:r>
        <w:rPr>
          <w:sz w:val="22"/>
        </w:rPr>
        <w:t xml:space="preserve">•  </w:t>
      </w:r>
      <w:r>
        <w:rPr>
          <w:sz w:val="22"/>
        </w:rPr>
        <w:t>PM-AME produit les indicateurs (§9.1), conduit les audits internes (§9.2), analyse les événements.</w:t>
      </w:r>
    </w:p>
    <w:p>
      <w:pPr>
        <w:pStyle w:val="Normal"/>
        <w:ind w:left="454"/>
        <w:rPr/>
      </w:pPr>
      <w:r>
        <w:rPr>
          <w:sz w:val="22"/>
        </w:rPr>
        <w:t xml:space="preserve">•  </w:t>
      </w:r>
      <w:r>
        <w:rPr>
          <w:sz w:val="22"/>
        </w:rPr>
        <w:t>PS-REG évalue la conformité réglementaire (§9.1.2).</w:t>
      </w:r>
    </w:p>
    <w:p>
      <w:pPr>
        <w:pStyle w:val="Normal"/>
        <w:ind w:left="454"/>
        <w:rPr/>
      </w:pPr>
      <w:r>
        <w:rPr>
          <w:sz w:val="22"/>
        </w:rPr>
        <w:t xml:space="preserve">•  </w:t>
      </w:r>
      <w:r>
        <w:rPr>
          <w:sz w:val="22"/>
        </w:rPr>
        <w:t>PM-DIR conduit la revue de direction (§9.3).</w:t>
      </w:r>
    </w:p>
    <w:p>
      <w:pPr>
        <w:pStyle w:val="Normal"/>
        <w:rPr/>
      </w:pPr>
      <w:r>
        <w:rPr/>
      </w:r>
    </w:p>
    <w:p>
      <w:pPr>
        <w:pStyle w:val="Heading2"/>
        <w:rPr/>
      </w:pPr>
      <w:r>
        <w:rPr>
          <w:rFonts w:ascii="Arial" w:hAnsi="Arial"/>
          <w:b/>
          <w:color w:val="1F4E79"/>
          <w:sz w:val="24"/>
        </w:rPr>
        <w:t>5.4  ACT — Améliorer</w:t>
      </w:r>
    </w:p>
    <w:p>
      <w:pPr>
        <w:pStyle w:val="Normal"/>
        <w:rPr/>
      </w:pPr>
      <w:r>
        <w:rPr>
          <w:sz w:val="22"/>
        </w:rPr>
        <w:t>Les processus ACT bouclent le cycle en pilotant les améliorations :</w:t>
      </w:r>
    </w:p>
    <w:p>
      <w:pPr>
        <w:pStyle w:val="Normal"/>
        <w:ind w:left="454"/>
        <w:rPr/>
      </w:pPr>
      <w:r>
        <w:rPr>
          <w:sz w:val="22"/>
        </w:rPr>
        <w:t xml:space="preserve">•  </w:t>
      </w:r>
      <w:r>
        <w:rPr>
          <w:sz w:val="22"/>
        </w:rPr>
        <w:t>PM-AME formalise les actions correctives (§10.2) et pilote l'amélioration continue (§10.3).</w:t>
      </w:r>
    </w:p>
    <w:p>
      <w:pPr>
        <w:pStyle w:val="Normal"/>
        <w:ind w:left="454"/>
        <w:rPr/>
      </w:pPr>
      <w:r>
        <w:rPr>
          <w:sz w:val="22"/>
        </w:rPr>
        <w:t xml:space="preserve">•  </w:t>
      </w:r>
      <w:r>
        <w:rPr>
          <w:sz w:val="22"/>
        </w:rPr>
        <w:t>PM-DIR décide des changements du SMSST et des allocations de ressources supplémentaires.</w:t>
      </w:r>
    </w:p>
    <w:p>
      <w:pPr>
        <w:pStyle w:val="Normal"/>
        <w:ind w:left="454"/>
        <w:rPr/>
      </w:pPr>
      <w:r>
        <w:rPr>
          <w:sz w:val="22"/>
        </w:rPr>
        <w:t xml:space="preserve">•  </w:t>
      </w:r>
      <w:r>
        <w:rPr>
          <w:sz w:val="22"/>
        </w:rPr>
        <w:t>PC-PREP actualise les IPER en intégrant les enseignements.</w:t>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080" w:right="1080" w:gutter="0" w:header="560" w:top="1500" w:footer="460" w:bottom="120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Arial">
    <w:charset w:val="01"/>
    <w:family w:val="swiss"/>
    <w:pitch w:val="variable"/>
  </w:font>
  <w:font w:name="Liberation Sans">
    <w:altName w:val="Arial"/>
    <w:charset w:val="01"/>
    <w:family w:val="roman"/>
    <w:pitch w:val="variable"/>
  </w:font>
  <w:font w:name="Wingdings">
    <w:charset w:val="02"/>
    <w:family w:val="auto"/>
    <w:pitch w:val="default"/>
  </w:font>
  <w:font w:name="Wingdings 2">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6" w:space="0" w:color="BFBFBF"/>
      </w:pBdr>
      <w:spacing w:before="0" w:after="0"/>
      <w:rPr/>
    </w:pPr>
    <w:r>
      <w:rPr/>
    </w:r>
  </w:p>
  <w:p>
    <w:pPr>
      <w:pStyle w:val="Normal"/>
      <w:tabs>
        <w:tab w:val="clear" w:pos="720"/>
        <w:tab w:val="center" w:pos="4513" w:leader="none"/>
        <w:tab w:val="right" w:pos="9026" w:leader="none"/>
      </w:tabs>
      <w:spacing w:before="40" w:after="0"/>
      <w:jc w:val="center"/>
      <w:rPr/>
    </w:pPr>
    <w:r>
      <w:rPr>
        <w:color w:val="595959"/>
        <w:sz w:val="16"/>
      </w:rPr>
      <w:t xml:space="preserve">CAR-SST-001 · Confidentiel · hem-consulting.com · Page </w:t>
    </w:r>
    <w:r>
      <w:rPr/>
      <w:fldChar w:fldCharType="begin"/>
    </w:r>
    <w:r>
      <w:rPr/>
      <w:instrText xml:space="preserve"> PAGE </w:instrText>
    </w:r>
    <w:r>
      <w:rPr/>
      <w:fldChar w:fldCharType="separate"/>
    </w:r>
    <w:r>
      <w:rPr/>
      <w:t>8</w:t>
    </w:r>
    <w:r>
      <w:rPr/>
      <w:fldChar w:fldCharType="end"/>
    </w:r>
    <w:r>
      <w:rPr>
        <w:color w:val="595959"/>
        <w:sz w:val="16"/>
      </w:rPr>
      <w:t xml:space="preserve"> / </w:t>
    </w:r>
    <w:r>
      <w:rPr/>
      <w:fldChar w:fldCharType="begin"/>
    </w:r>
    <w:r>
      <w:rPr/>
      <w:instrText xml:space="preserve"> NUMPAGES </w:instrText>
    </w:r>
    <w:r>
      <w:rPr/>
      <w:fldChar w:fldCharType="separate"/>
    </w:r>
    <w:r>
      <w:rPr/>
      <w:t>8</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6" w:space="0" w:color="BFBFBF"/>
      </w:pBdr>
      <w:spacing w:before="0" w:after="0"/>
      <w:rPr/>
    </w:pPr>
    <w:r>
      <w:rPr/>
    </w:r>
  </w:p>
  <w:p>
    <w:pPr>
      <w:pStyle w:val="Normal"/>
      <w:tabs>
        <w:tab w:val="clear" w:pos="720"/>
        <w:tab w:val="center" w:pos="4513" w:leader="none"/>
        <w:tab w:val="right" w:pos="9026" w:leader="none"/>
      </w:tabs>
      <w:spacing w:before="40" w:after="0"/>
      <w:jc w:val="center"/>
      <w:rPr/>
    </w:pPr>
    <w:r>
      <w:rPr>
        <w:color w:val="595959"/>
        <w:sz w:val="16"/>
      </w:rPr>
      <w:t xml:space="preserve">CAR-SST-001 · Confidentiel · hem-consulting.com · Page </w:t>
    </w:r>
    <w:r>
      <w:rPr/>
      <w:fldChar w:fldCharType="begin"/>
    </w:r>
    <w:r>
      <w:rPr/>
      <w:instrText xml:space="preserve"> PAGE </w:instrText>
    </w:r>
    <w:r>
      <w:rPr/>
      <w:fldChar w:fldCharType="separate"/>
    </w:r>
    <w:r>
      <w:rPr/>
      <w:t>8</w:t>
    </w:r>
    <w:r>
      <w:rPr/>
      <w:fldChar w:fldCharType="end"/>
    </w:r>
    <w:r>
      <w:rPr>
        <w:color w:val="595959"/>
        <w:sz w:val="16"/>
      </w:rPr>
      <w:t xml:space="preserve"> / </w:t>
    </w:r>
    <w:r>
      <w:rPr/>
      <w:fldChar w:fldCharType="begin"/>
    </w:r>
    <w:r>
      <w:rPr/>
      <w:instrText xml:space="preserve"> NUMPAGES </w:instrText>
    </w:r>
    <w:r>
      <w:rPr/>
      <w:fldChar w:fldCharType="separate"/>
    </w:r>
    <w:r>
      <w:rPr/>
      <w:t>8</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26" w:type="dxa"/>
      <w:jc w:val="left"/>
      <w:tblInd w:w="0" w:type="dxa"/>
      <w:tblLayout w:type="fixed"/>
      <w:tblCellMar>
        <w:top w:w="0" w:type="dxa"/>
        <w:left w:w="108" w:type="dxa"/>
        <w:bottom w:w="0" w:type="dxa"/>
        <w:right w:w="108" w:type="dxa"/>
      </w:tblCellMar>
    </w:tblPr>
    <w:tblGrid>
      <w:gridCol w:w="4513"/>
      <w:gridCol w:w="4512"/>
    </w:tblGrid>
    <w:tr>
      <w:trPr/>
      <w:tc>
        <w:tcPr>
          <w:tcW w:w="4513" w:type="dxa"/>
          <w:tcBorders/>
          <w:vAlign w:val="center"/>
        </w:tcPr>
        <w:p>
          <w:pPr>
            <w:pStyle w:val="Normal"/>
            <w:pBdr>
              <w:top w:val="dashed" w:sz="4" w:space="0" w:color="2E75B6"/>
              <w:left w:val="dashed" w:sz="4" w:space="0" w:color="2E75B6"/>
              <w:bottom w:val="dashed" w:sz="4" w:space="0" w:color="2E75B6"/>
              <w:right w:val="dashed" w:sz="4" w:space="0" w:color="2E75B6"/>
            </w:pBdr>
            <w:spacing w:before="0" w:after="0"/>
            <w:jc w:val="left"/>
            <w:rPr/>
          </w:pPr>
          <w:r>
            <w:rPr>
              <w:i/>
              <w:color w:val="595959"/>
              <w:sz w:val="18"/>
            </w:rPr>
            <w:t>[Votre Logo Ici]</w:t>
          </w:r>
        </w:p>
        <w:p>
          <w:pPr>
            <w:pStyle w:val="Normal"/>
            <w:jc w:val="left"/>
            <w:rPr/>
          </w:pPr>
          <w:r>
            <w:rPr>
              <w:i/>
              <w:color w:val="595959"/>
              <w:sz w:val="18"/>
            </w:rPr>
            <w:t>[Nom organisation]</w:t>
          </w:r>
        </w:p>
      </w:tc>
      <w:tc>
        <w:tcPr>
          <w:tcW w:w="4512" w:type="dxa"/>
          <w:tcBorders/>
          <w:vAlign w:val="center"/>
        </w:tcPr>
        <w:p>
          <w:pPr>
            <w:pStyle w:val="Normal"/>
            <w:spacing w:before="0" w:after="0"/>
            <w:jc w:val="right"/>
            <w:rPr/>
          </w:pPr>
          <w:r>
            <w:rPr/>
            <w:drawing>
              <wp:inline distT="0" distB="0" distL="0" distR="0">
                <wp:extent cx="539750" cy="539750"/>
                <wp:effectExtent l="0" t="0" r="0" b="0"/>
                <wp:docPr id="3"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
                        <pic:cNvPicPr>
                          <a:picLocks noChangeAspect="1" noChangeArrowheads="1"/>
                        </pic:cNvPicPr>
                      </pic:nvPicPr>
                      <pic:blipFill>
                        <a:blip r:embed="rId1"/>
                        <a:stretch>
                          <a:fillRect/>
                        </a:stretch>
                      </pic:blipFill>
                      <pic:spPr bwMode="auto">
                        <a:xfrm>
                          <a:off x="0" y="0"/>
                          <a:ext cx="539750" cy="539750"/>
                        </a:xfrm>
                        <a:prstGeom prst="rect">
                          <a:avLst/>
                        </a:prstGeom>
                      </pic:spPr>
                    </pic:pic>
                  </a:graphicData>
                </a:graphic>
              </wp:inline>
            </w:drawing>
          </w:r>
        </w:p>
        <w:p>
          <w:pPr>
            <w:pStyle w:val="Normal"/>
            <w:jc w:val="right"/>
            <w:rPr/>
          </w:pPr>
          <w:r>
            <w:rPr>
              <w:i/>
              <w:color w:val="B0B0B0"/>
              <w:sz w:val="14"/>
            </w:rPr>
            <w:t>Édité par HEMC</w:t>
          </w:r>
        </w:p>
      </w:tc>
    </w:tr>
  </w:tbl>
  <w:p>
    <w:pPr>
      <w:pStyle w:val="Normal"/>
      <w:pBdr>
        <w:bottom w:val="single" w:sz="10" w:space="0" w:color="4F9B3E"/>
      </w:pBdr>
      <w:spacing w:before="40" w:after="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26" w:type="dxa"/>
      <w:jc w:val="left"/>
      <w:tblInd w:w="0" w:type="dxa"/>
      <w:tblLayout w:type="fixed"/>
      <w:tblCellMar>
        <w:top w:w="0" w:type="dxa"/>
        <w:left w:w="108" w:type="dxa"/>
        <w:bottom w:w="0" w:type="dxa"/>
        <w:right w:w="108" w:type="dxa"/>
      </w:tblCellMar>
    </w:tblPr>
    <w:tblGrid>
      <w:gridCol w:w="4513"/>
      <w:gridCol w:w="4512"/>
    </w:tblGrid>
    <w:tr>
      <w:trPr/>
      <w:tc>
        <w:tcPr>
          <w:tcW w:w="4513" w:type="dxa"/>
          <w:tcBorders/>
          <w:vAlign w:val="center"/>
        </w:tcPr>
        <w:p>
          <w:pPr>
            <w:pStyle w:val="Normal"/>
            <w:pBdr>
              <w:top w:val="dashed" w:sz="4" w:space="0" w:color="2E75B6"/>
              <w:left w:val="dashed" w:sz="4" w:space="0" w:color="2E75B6"/>
              <w:bottom w:val="dashed" w:sz="4" w:space="0" w:color="2E75B6"/>
              <w:right w:val="dashed" w:sz="4" w:space="0" w:color="2E75B6"/>
            </w:pBdr>
            <w:spacing w:before="0" w:after="0"/>
            <w:jc w:val="left"/>
            <w:rPr/>
          </w:pPr>
          <w:r>
            <w:rPr>
              <w:i/>
              <w:color w:val="595959"/>
              <w:sz w:val="18"/>
            </w:rPr>
            <w:t>[Votre Logo Ici]</w:t>
          </w:r>
        </w:p>
        <w:p>
          <w:pPr>
            <w:pStyle w:val="Normal"/>
            <w:jc w:val="left"/>
            <w:rPr/>
          </w:pPr>
          <w:r>
            <w:rPr>
              <w:i/>
              <w:color w:val="595959"/>
              <w:sz w:val="18"/>
            </w:rPr>
            <w:t>[Nom organisation]</w:t>
          </w:r>
        </w:p>
      </w:tc>
      <w:tc>
        <w:tcPr>
          <w:tcW w:w="4512" w:type="dxa"/>
          <w:tcBorders/>
          <w:vAlign w:val="center"/>
        </w:tcPr>
        <w:p>
          <w:pPr>
            <w:pStyle w:val="Normal"/>
            <w:spacing w:before="0" w:after="0"/>
            <w:jc w:val="right"/>
            <w:rPr/>
          </w:pPr>
          <w:r>
            <w:rPr/>
            <w:drawing>
              <wp:inline distT="0" distB="0" distL="0" distR="0">
                <wp:extent cx="539750" cy="539750"/>
                <wp:effectExtent l="0" t="0" r="0" b="0"/>
                <wp:docPr id="4"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
                        <pic:cNvPicPr>
                          <a:picLocks noChangeAspect="1" noChangeArrowheads="1"/>
                        </pic:cNvPicPr>
                      </pic:nvPicPr>
                      <pic:blipFill>
                        <a:blip r:embed="rId1"/>
                        <a:stretch>
                          <a:fillRect/>
                        </a:stretch>
                      </pic:blipFill>
                      <pic:spPr bwMode="auto">
                        <a:xfrm>
                          <a:off x="0" y="0"/>
                          <a:ext cx="539750" cy="539750"/>
                        </a:xfrm>
                        <a:prstGeom prst="rect">
                          <a:avLst/>
                        </a:prstGeom>
                      </pic:spPr>
                    </pic:pic>
                  </a:graphicData>
                </a:graphic>
              </wp:inline>
            </w:drawing>
          </w:r>
        </w:p>
        <w:p>
          <w:pPr>
            <w:pStyle w:val="Normal"/>
            <w:jc w:val="right"/>
            <w:rPr/>
          </w:pPr>
          <w:r>
            <w:rPr>
              <w:i/>
              <w:color w:val="B0B0B0"/>
              <w:sz w:val="14"/>
            </w:rPr>
            <w:t>Édité par HEMC</w:t>
          </w:r>
        </w:p>
      </w:tc>
    </w:tr>
  </w:tbl>
  <w:p>
    <w:pPr>
      <w:pStyle w:val="Normal"/>
      <w:pBdr>
        <w:bottom w:val="single" w:sz="10" w:space="0" w:color="4F9B3E"/>
      </w:pBdr>
      <w:spacing w:before="40" w:after="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color w:val="222222"/>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Arial" w:hAnsi="Arial" w:eastAsia="Arial" w:cs="Arial"/>
      <w:color w:val="222222"/>
      <w:kern w:val="0"/>
      <w:sz w:val="20"/>
      <w:szCs w:val="20"/>
      <w:lang w:val="en-US" w:eastAsia="zh-CN" w:bidi="hi-IN"/>
    </w:rPr>
  </w:style>
  <w:style w:type="paragraph" w:styleId="Heading1">
    <w:name w:val="Heading 1"/>
    <w:basedOn w:val="Heading"/>
    <w:qFormat/>
    <w:pPr/>
    <w:rPr>
      <w:rFonts w:ascii="Arial" w:hAnsi="Arial" w:eastAsia="Arial" w:cs="Arial"/>
      <w:b/>
      <w:bCs/>
      <w:color w:val="1F4E79"/>
      <w:sz w:val="28"/>
      <w:szCs w:val="28"/>
    </w:rPr>
  </w:style>
  <w:style w:type="paragraph" w:styleId="Heading2">
    <w:name w:val="Heading 2"/>
    <w:basedOn w:val="Heading"/>
    <w:qFormat/>
    <w:pPr/>
    <w:rPr>
      <w:rFonts w:ascii="Arial" w:hAnsi="Arial" w:eastAsia="Arial" w:cs="Arial"/>
      <w:b/>
      <w:bCs/>
      <w:color w:val="2E75B6"/>
      <w:sz w:val="23"/>
      <w:szCs w:val="23"/>
    </w:rPr>
  </w:style>
  <w:style w:type="paragraph" w:styleId="Heading3">
    <w:name w:val="Heading 3"/>
    <w:basedOn w:val="Heading"/>
    <w:qFormat/>
    <w:pPr/>
    <w:rPr>
      <w:color w:val="1F4D78"/>
      <w:sz w:val="24"/>
      <w:szCs w:val="24"/>
    </w:rPr>
  </w:style>
  <w:style w:type="paragraph" w:styleId="Heading4">
    <w:name w:val="Heading 4"/>
    <w:basedOn w:val="Heading"/>
    <w:qFormat/>
    <w:pPr/>
    <w:rPr>
      <w:i/>
      <w:iCs/>
      <w:color w:val="2E74B5"/>
    </w:rPr>
  </w:style>
  <w:style w:type="paragraph" w:styleId="Heading5">
    <w:name w:val="Heading 5"/>
    <w:basedOn w:val="Heading"/>
    <w:qFormat/>
    <w:pPr/>
    <w:rPr>
      <w:color w:val="2E74B5"/>
    </w:rPr>
  </w:style>
  <w:style w:type="paragraph" w:styleId="Heading6">
    <w:name w:val="Heading 6"/>
    <w:basedOn w:val="Heading"/>
    <w:qFormat/>
    <w:pPr/>
    <w:rPr>
      <w:color w:val="1F4D78"/>
    </w:rPr>
  </w:style>
  <w:style w:type="character" w:styleId="Hyperlink">
    <w:name w:val="Hyperlink"/>
    <w:uiPriority w:val="99"/>
    <w:unhideWhenUsed/>
    <w:rPr>
      <w:color w:val="0563C1"/>
      <w:u w:val="single"/>
    </w:rPr>
  </w:style>
  <w:style w:type="character" w:styleId="FootnoteCharacters">
    <w:name w:val="Footnote Characters"/>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link w:val="FootnoteText"/>
    <w:uiPriority w:val="99"/>
    <w:semiHidden/>
    <w:unhideWhenUsed/>
    <w:qFormat/>
    <w:rPr>
      <w:sz w:val="20"/>
      <w:szCs w:val="20"/>
    </w:rPr>
  </w:style>
  <w:style w:type="character" w:styleId="EndnoteCharacters">
    <w:name w:val="Endnote Characters"/>
    <w:uiPriority w:val="99"/>
    <w:semiHidden/>
    <w:unhideWhenUsed/>
    <w:qFormat/>
    <w:rPr>
      <w:vertAlign w:val="superscript"/>
    </w:rPr>
  </w:style>
  <w:style w:type="character" w:styleId="EndnoteReference">
    <w:name w:val="Endnote Reference"/>
    <w:rPr>
      <w:vertAlign w:val="superscript"/>
    </w:rPr>
  </w:style>
  <w:style w:type="character" w:styleId="EndnoteTextChar">
    <w:name w:val="Endnote Text Char"/>
    <w:link w:val="EndnoteText"/>
    <w:uiPriority w:val="99"/>
    <w:semiHidden/>
    <w:unhideWhenUsed/>
    <w:qFormat/>
    <w:rPr>
      <w:sz w:val="20"/>
      <w:szCs w:val="20"/>
    </w:rPr>
  </w:style>
  <w:style w:type="paragraph" w:styleId="Heading">
    <w:name w:val="Heading"/>
    <w:basedOn w:val="Normal"/>
    <w:next w:val="BodyText"/>
    <w:qFormat/>
    <w:pPr>
      <w:keepNext w:val="true"/>
      <w:spacing w:before="240" w:after="120"/>
    </w:pPr>
    <w:rPr>
      <w:rFonts w:ascii="Liberation Sans" w:hAnsi="Liberation Sans" w:eastAsia="Noto Sans CJK SC"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Title">
    <w:name w:val="Title"/>
    <w:basedOn w:val="Heading"/>
    <w:qFormat/>
    <w:pPr/>
    <w:rPr>
      <w:sz w:val="56"/>
      <w:szCs w:val="56"/>
    </w:rPr>
  </w:style>
  <w:style w:type="paragraph" w:styleId="StrongEmphasis">
    <w:name w:val="Strong Emphasis"/>
    <w:qFormat/>
    <w:pPr>
      <w:widowControl/>
      <w:suppressAutoHyphens w:val="true"/>
      <w:bidi w:val="0"/>
      <w:spacing w:before="0" w:after="0"/>
      <w:jc w:val="left"/>
    </w:pPr>
    <w:rPr>
      <w:rFonts w:ascii="Arial" w:hAnsi="Arial" w:eastAsia="Arial" w:cs="Arial"/>
      <w:b/>
      <w:bCs/>
      <w:color w:val="222222"/>
      <w:kern w:val="0"/>
      <w:sz w:val="20"/>
      <w:szCs w:val="20"/>
      <w:lang w:val="en-US" w:eastAsia="zh-CN" w:bidi="hi-IN"/>
    </w:rPr>
  </w:style>
  <w:style w:type="paragraph" w:styleId="ListParagraph">
    <w:name w:val="List Paragraph"/>
    <w:qFormat/>
    <w:pPr>
      <w:widowControl/>
      <w:suppressAutoHyphens w:val="true"/>
      <w:bidi w:val="0"/>
      <w:spacing w:before="0" w:after="0"/>
      <w:jc w:val="left"/>
    </w:pPr>
    <w:rPr>
      <w:rFonts w:ascii="Arial" w:hAnsi="Arial" w:eastAsia="Arial" w:cs="Arial"/>
      <w:color w:val="222222"/>
      <w:kern w:val="0"/>
      <w:sz w:val="20"/>
      <w:szCs w:val="20"/>
      <w:lang w:val="en-US"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 w:type="paragraph" w:styleId="EndnoteText">
    <w:name w:val="Endnote Text"/>
    <w:basedOn w:val="Normal"/>
    <w:link w:val="EndnoteTextChar"/>
    <w:uiPriority w:val="99"/>
    <w:semiHidden/>
    <w:unhideWhenUsed/>
    <w:pPr>
      <w:spacing w:lineRule="auto" w:line="240" w:before="0" w:after="0"/>
    </w:pPr>
    <w:rPr>
      <w:sz w:val="20"/>
      <w:szCs w:val="20"/>
    </w:rPr>
  </w:style>
  <w:style w:type="paragraph" w:styleId="HeaderandFooter">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paragraph" w:styleId="IndexHeading">
    <w:name w:val="Index Heading"/>
    <w:basedOn w:val="Heading"/>
    <w:pPr/>
    <w:rPr/>
  </w:style>
  <w:style w:type="paragraph" w:styleId="TOCHeading">
    <w:name w:val="TOC Heading"/>
    <w:basedOn w:val="IndexHeading"/>
    <w:qFormat/>
    <w:pPr/>
    <w:rPr/>
  </w:style>
  <w:style w:type="paragraph" w:styleId="TOC1">
    <w:name w:val="TOC 1"/>
    <w:basedOn w:val="Index"/>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LibreOffice/24.2.7.2$Linux_X86_64 LibreOffice_project/420$Build-2</Application>
  <AppVersion>15.0000</AppVersion>
  <Pages>8</Pages>
  <Words>1832</Words>
  <Characters>11097</Characters>
  <CharactersWithSpaces>12840</CharactersWithSpaces>
  <Paragraphs>211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2026-07-09T16:01:21Z</dcterms:created>
  <dc:creator>Hub Engineering Management Consulting</dc:creator>
  <dc:description>Ce document présente la cartographie des processus du SMSST : dix processus métier regroupés en trois familles (management, réalisation, support), leurs interactions et leur inscription dans le cycle PDCA. Il matérialise l'exigence d'établir le SMSST et ses processus (§4.4) et renvoie à la fiche détaillée de chaque processus (dossier 02_Fiches_Processus).</dc:description>
  <dc:language>en-US</dc:language>
  <cp:lastModifiedBy>Hub Engineering Management Consulting</cp:lastModifiedBy>
  <dcterms:modified xsi:type="dcterms:W3CDTF">2026-07-13T14:04:58Z</dcterms:modified>
  <cp:revision>4</cp:revision>
  <dc:subject/>
  <dc:title>Cartographie des processus SMSST</dc:title>
</cp:coreProperties>
</file>

<file path=docProps/custom.xml><?xml version="1.0" encoding="utf-8"?>
<Properties xmlns="http://schemas.openxmlformats.org/officeDocument/2006/custom-properties" xmlns:vt="http://schemas.openxmlformats.org/officeDocument/2006/docPropsVTypes"/>
</file>