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500" w:after="0"/>
        <w:jc w:val="center"/>
        <w:rPr/>
      </w:pPr>
      <w:r>
        <w:rPr/>
        <w:drawing>
          <wp:inline distT="0" distB="0" distL="0" distR="0">
            <wp:extent cx="914400" cy="914400"/>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914400" cy="914400"/>
                    </a:xfrm>
                    <a:prstGeom prst="rect">
                      <a:avLst/>
                    </a:prstGeom>
                  </pic:spPr>
                </pic:pic>
              </a:graphicData>
            </a:graphic>
          </wp:inline>
        </w:drawing>
      </w:r>
    </w:p>
    <w:p>
      <w:pPr>
        <w:pStyle w:val="Normal"/>
        <w:spacing w:before="0" w:after="40"/>
        <w:jc w:val="center"/>
        <w:rPr/>
      </w:pPr>
      <w:r>
        <w:rPr>
          <w:rFonts w:eastAsia="Arial" w:cs="Arial"/>
          <w:b/>
          <w:bCs/>
          <w:color w:val="1F4E79"/>
          <w:sz w:val="24"/>
          <w:szCs w:val="24"/>
        </w:rPr>
        <w:t>[Nom organisation]</w:t>
      </w:r>
    </w:p>
    <w:p>
      <w:pPr>
        <w:pStyle w:val="Normal"/>
        <w:spacing w:before="0" w:after="360"/>
        <w:jc w:val="center"/>
        <w:rPr/>
      </w:pPr>
      <w:r>
        <w:rPr>
          <w:rFonts w:eastAsia="Arial" w:cs="Arial"/>
          <w:i/>
          <w:iCs/>
          <w:color w:val="2E75B6"/>
          <w:sz w:val="18"/>
          <w:szCs w:val="18"/>
        </w:rPr>
        <w:t>Système de Management de la Santé et de la Sécurité au Travail — ISO 45001:2018</w:t>
      </w:r>
    </w:p>
    <w:p>
      <w:pPr>
        <w:pStyle w:val="Normal"/>
        <w:shd w:val="clear" w:fill="1F4E79"/>
        <w:spacing w:before="200" w:after="0"/>
        <w:jc w:val="center"/>
        <w:rPr/>
      </w:pPr>
      <w:r>
        <w:rPr>
          <w:rFonts w:eastAsia="Arial" w:cs="Arial"/>
          <w:b/>
          <w:bCs/>
          <w:color w:val="FFFFFF"/>
          <w:sz w:val="20"/>
          <w:szCs w:val="20"/>
        </w:rPr>
        <w:br/>
        <w:t xml:space="preserve"> POLITIQUE </w:t>
      </w:r>
      <w:r>
        <w:rPr/>
        <w:br/>
      </w:r>
    </w:p>
    <w:p>
      <w:pPr>
        <w:pStyle w:val="Normal"/>
        <w:shd w:val="clear" w:fill="1F4E79"/>
        <w:spacing w:before="0" w:after="40"/>
        <w:jc w:val="center"/>
        <w:rPr/>
      </w:pPr>
      <w:r>
        <w:rPr>
          <w:rFonts w:eastAsia="Arial" w:cs="Arial"/>
          <w:b/>
          <w:bCs/>
          <w:color w:val="FFFFFF"/>
          <w:sz w:val="34"/>
          <w:szCs w:val="34"/>
        </w:rPr>
        <w:t>Politique de Santé et de Sécurité au Travail</w:t>
      </w:r>
      <w:r>
        <w:rPr/>
        <w:br/>
      </w:r>
    </w:p>
    <w:p>
      <w:pPr>
        <w:pStyle w:val="Normal"/>
        <w:spacing w:before="160" w:after="400"/>
        <w:jc w:val="center"/>
        <w:rPr/>
      </w:pPr>
      <w:r>
        <w:rPr>
          <w:rFonts w:eastAsia="Arial" w:cs="Arial"/>
          <w:color w:val="595959"/>
          <w:sz w:val="20"/>
          <w:szCs w:val="20"/>
        </w:rPr>
        <w:t>Engagement de la direction — ISO 45001 §5.2</w:t>
      </w:r>
    </w:p>
    <w:p>
      <w:pPr>
        <w:pStyle w:val="Normal"/>
        <w:spacing w:before="200" w:after="20"/>
        <w:jc w:val="center"/>
        <w:rPr/>
      </w:pPr>
      <w:r>
        <w:rPr>
          <w:rFonts w:eastAsia="Arial" w:cs="Arial"/>
          <w:b/>
          <w:bCs/>
          <w:color w:val="1F4E79"/>
          <w:sz w:val="20"/>
          <w:szCs w:val="20"/>
        </w:rPr>
        <w:t>Organisme :</w:t>
      </w:r>
    </w:p>
    <w:p>
      <w:pPr>
        <w:pStyle w:val="Normal"/>
        <w:pBdr>
          <w:top w:val="dashed" w:sz="4" w:space="0" w:color="2E75B6"/>
          <w:left w:val="dashed" w:sz="4" w:space="0" w:color="2E75B6"/>
          <w:bottom w:val="dashed" w:sz="4" w:space="0" w:color="2E75B6"/>
          <w:right w:val="dashed" w:sz="4" w:space="0" w:color="2E75B6"/>
        </w:pBdr>
        <w:spacing w:before="0" w:after="10"/>
        <w:jc w:val="center"/>
        <w:rPr/>
      </w:pPr>
      <w:r>
        <w:rPr>
          <w:rFonts w:eastAsia="Arial" w:cs="Arial"/>
          <w:b/>
          <w:bCs/>
          <w:color w:val="2E75B6"/>
          <w:sz w:val="20"/>
          <w:szCs w:val="20"/>
        </w:rPr>
        <w:t xml:space="preserve">  </w:t>
      </w:r>
      <w:r>
        <w:rPr>
          <w:rFonts w:eastAsia="Arial" w:cs="Arial"/>
          <w:b/>
          <w:bCs/>
          <w:color w:val="2E75B6"/>
          <w:sz w:val="20"/>
          <w:szCs w:val="20"/>
        </w:rPr>
        <w:t xml:space="preserve">[LOGO CLIENT]        [NOM DE L'ORGANISME]  </w:t>
      </w:r>
    </w:p>
    <w:p>
      <w:pPr>
        <w:pStyle w:val="Normal"/>
        <w:spacing w:before="500" w:after="0"/>
        <w:jc w:val="center"/>
        <w:rPr/>
      </w:pPr>
      <w:r>
        <w:rPr>
          <w:rFonts w:eastAsia="Arial" w:cs="Arial"/>
          <w:color w:val="595959"/>
          <w:sz w:val="18"/>
          <w:szCs w:val="18"/>
        </w:rPr>
        <w:t>PO-SST-001   ·   Version 1.0   ·   Juillet 2026</w:t>
      </w:r>
    </w:p>
    <w:p>
      <w:pPr>
        <w:pStyle w:val="Normal"/>
        <w:rPr/>
      </w:pPr>
      <w:r>
        <w:rPr/>
      </w:r>
    </w:p>
    <w:p>
      <w:pPr>
        <w:pStyle w:val="Normal"/>
        <w:rPr/>
      </w:pPr>
      <w:r>
        <w:rPr/>
      </w:r>
      <w:r>
        <w:br w:type="page"/>
      </w:r>
    </w:p>
    <w:p>
      <w:pPr>
        <w:pStyle w:val="Normal"/>
        <w:pBdr>
          <w:bottom w:val="single" w:sz="12" w:space="4" w:color="4F9B3E"/>
        </w:pBdr>
        <w:spacing w:before="0" w:after="140"/>
        <w:rPr/>
      </w:pPr>
      <w:r>
        <w:rPr>
          <w:rFonts w:eastAsia="Arial" w:cs="Arial"/>
          <w:b/>
          <w:bCs/>
          <w:color w:val="1F4E79"/>
          <w:sz w:val="28"/>
          <w:szCs w:val="28"/>
        </w:rPr>
        <w:t>Contrôle documentaire</w:t>
      </w:r>
    </w:p>
    <w:p>
      <w:pPr>
        <w:pStyle w:val="Normal"/>
        <w:spacing w:before="180" w:after="90"/>
        <w:rPr/>
      </w:pPr>
      <w:r>
        <w:rPr>
          <w:rFonts w:eastAsia="Arial" w:cs="Arial"/>
          <w:b/>
          <w:bCs/>
          <w:color w:val="2E75B6"/>
          <w:sz w:val="23"/>
          <w:szCs w:val="23"/>
        </w:rPr>
        <w:t>Cartouche</w:t>
      </w:r>
    </w:p>
    <w:tbl>
      <w:tblPr>
        <w:tblW w:w="9026" w:type="dxa"/>
        <w:jc w:val="left"/>
        <w:tblInd w:w="0" w:type="dxa"/>
        <w:tblLayout w:type="fixed"/>
        <w:tblCellMar>
          <w:top w:w="60" w:type="dxa"/>
          <w:left w:w="100" w:type="dxa"/>
          <w:bottom w:w="60" w:type="dxa"/>
          <w:right w:w="100" w:type="dxa"/>
        </w:tblCellMar>
      </w:tblPr>
      <w:tblGrid>
        <w:gridCol w:w="2100"/>
        <w:gridCol w:w="900"/>
        <w:gridCol w:w="1150"/>
        <w:gridCol w:w="1651"/>
        <w:gridCol w:w="1612"/>
        <w:gridCol w:w="1612"/>
      </w:tblGrid>
      <w:tr>
        <w:trPr>
          <w:tblHeader w:val="true"/>
        </w:trPr>
        <w:tc>
          <w:tcPr>
            <w:tcW w:w="2100" w:type="dxa"/>
            <w:tcBorders>
              <w:top w:val="single" w:sz="2" w:space="0" w:color="BFBFBF"/>
              <w:left w:val="single" w:sz="2" w:space="0" w:color="BFBFBF"/>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Code</w:t>
            </w:r>
          </w:p>
        </w:tc>
        <w:tc>
          <w:tcPr>
            <w:tcW w:w="900"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Version</w:t>
            </w:r>
          </w:p>
        </w:tc>
        <w:tc>
          <w:tcPr>
            <w:tcW w:w="1150"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Date</w:t>
            </w:r>
          </w:p>
        </w:tc>
        <w:tc>
          <w:tcPr>
            <w:tcW w:w="1651"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Créateur</w:t>
            </w:r>
          </w:p>
        </w:tc>
        <w:tc>
          <w:tcPr>
            <w:tcW w:w="1612"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Vérificateur</w:t>
            </w:r>
          </w:p>
        </w:tc>
        <w:tc>
          <w:tcPr>
            <w:tcW w:w="1612" w:type="dxa"/>
            <w:tcBorders>
              <w:top w:val="single" w:sz="2" w:space="0" w:color="BFBFBF"/>
              <w:left w:val="single" w:sz="2" w:space="0" w:color="D9D9D9"/>
              <w:bottom w:val="single" w:sz="2" w:space="0" w:color="D9D9D9"/>
              <w:right w:val="single" w:sz="2" w:space="0" w:color="BFBFBF"/>
            </w:tcBorders>
            <w:shd w:fill="1F4E79" w:val="clear"/>
            <w:vAlign w:val="center"/>
          </w:tcPr>
          <w:p>
            <w:pPr>
              <w:pStyle w:val="Normal"/>
              <w:spacing w:lineRule="exact" w:line="252" w:before="0" w:after="0"/>
              <w:jc w:val="left"/>
              <w:rPr/>
            </w:pPr>
            <w:r>
              <w:rPr>
                <w:rFonts w:eastAsia="Arial" w:cs="Arial"/>
                <w:b/>
                <w:bCs/>
                <w:color w:val="FFFFFF"/>
                <w:sz w:val="19"/>
                <w:szCs w:val="19"/>
              </w:rPr>
              <w:t>Approbateur</w:t>
            </w:r>
          </w:p>
        </w:tc>
      </w:tr>
      <w:tr>
        <w:trPr/>
        <w:tc>
          <w:tcPr>
            <w:tcW w:w="2100" w:type="dxa"/>
            <w:tcBorders>
              <w:top w:val="single" w:sz="2" w:space="0" w:color="D9D9D9"/>
              <w:left w:val="single" w:sz="2" w:space="0" w:color="BFBFBF"/>
              <w:bottom w:val="single" w:sz="2" w:space="0" w:color="BFBFBF"/>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PO-SST-001</w:t>
            </w:r>
          </w:p>
        </w:tc>
        <w:tc>
          <w:tcPr>
            <w:tcW w:w="900" w:type="dxa"/>
            <w:tcBorders>
              <w:top w:val="single" w:sz="2" w:space="0" w:color="D9D9D9"/>
              <w:left w:val="single" w:sz="2" w:space="0" w:color="D9D9D9"/>
              <w:bottom w:val="single" w:sz="2" w:space="0" w:color="BFBFBF"/>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1.0</w:t>
            </w:r>
          </w:p>
        </w:tc>
        <w:tc>
          <w:tcPr>
            <w:tcW w:w="1150" w:type="dxa"/>
            <w:tcBorders>
              <w:top w:val="single" w:sz="2" w:space="0" w:color="D9D9D9"/>
              <w:left w:val="single" w:sz="2" w:space="0" w:color="D9D9D9"/>
              <w:bottom w:val="single" w:sz="2" w:space="0" w:color="BFBFBF"/>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Juillet 2026</w:t>
            </w:r>
          </w:p>
        </w:tc>
        <w:tc>
          <w:tcPr>
            <w:tcW w:w="1651" w:type="dxa"/>
            <w:tcBorders>
              <w:top w:val="single" w:sz="2" w:space="0" w:color="D9D9D9"/>
              <w:left w:val="single" w:sz="2" w:space="0" w:color="D9D9D9"/>
              <w:bottom w:val="single" w:sz="2" w:space="0" w:color="BFBFBF"/>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[Nom organisation]</w:t>
            </w:r>
          </w:p>
        </w:tc>
        <w:tc>
          <w:tcPr>
            <w:tcW w:w="1612" w:type="dxa"/>
            <w:tcBorders>
              <w:top w:val="single" w:sz="2" w:space="0" w:color="D9D9D9"/>
              <w:left w:val="single" w:sz="2" w:space="0" w:color="D9D9D9"/>
              <w:bottom w:val="single" w:sz="2" w:space="0" w:color="BFBFBF"/>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[À COMPLÉTER]</w:t>
            </w:r>
          </w:p>
        </w:tc>
        <w:tc>
          <w:tcPr>
            <w:tcW w:w="1612" w:type="dxa"/>
            <w:tcBorders>
              <w:top w:val="single" w:sz="2" w:space="0" w:color="D9D9D9"/>
              <w:left w:val="single" w:sz="2" w:space="0" w:color="D9D9D9"/>
              <w:bottom w:val="single" w:sz="2" w:space="0" w:color="BFBFBF"/>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[À COMPLÉTER]</w:t>
            </w:r>
          </w:p>
        </w:tc>
      </w:tr>
    </w:tbl>
    <w:p>
      <w:pPr>
        <w:pStyle w:val="Normal"/>
        <w:spacing w:before="0" w:after="120"/>
        <w:rPr/>
      </w:pPr>
      <w:r>
        <w:rPr/>
      </w:r>
    </w:p>
    <w:p>
      <w:pPr>
        <w:pStyle w:val="Normal"/>
        <w:spacing w:before="180" w:after="90"/>
        <w:rPr/>
      </w:pPr>
      <w:r>
        <w:rPr>
          <w:rFonts w:eastAsia="Arial" w:cs="Arial"/>
          <w:b/>
          <w:bCs/>
          <w:color w:val="2E75B6"/>
          <w:sz w:val="23"/>
          <w:szCs w:val="23"/>
        </w:rPr>
        <w:t>Historique des révisions</w:t>
      </w:r>
    </w:p>
    <w:tbl>
      <w:tblPr>
        <w:tblW w:w="9026" w:type="dxa"/>
        <w:jc w:val="left"/>
        <w:tblInd w:w="0" w:type="dxa"/>
        <w:tblLayout w:type="fixed"/>
        <w:tblCellMar>
          <w:top w:w="60" w:type="dxa"/>
          <w:left w:w="100" w:type="dxa"/>
          <w:bottom w:w="60" w:type="dxa"/>
          <w:right w:w="100" w:type="dxa"/>
        </w:tblCellMar>
      </w:tblPr>
      <w:tblGrid>
        <w:gridCol w:w="1199"/>
        <w:gridCol w:w="1500"/>
        <w:gridCol w:w="4726"/>
        <w:gridCol w:w="1600"/>
      </w:tblGrid>
      <w:tr>
        <w:trPr>
          <w:tblHeader w:val="true"/>
        </w:trPr>
        <w:tc>
          <w:tcPr>
            <w:tcW w:w="1199" w:type="dxa"/>
            <w:tcBorders>
              <w:top w:val="single" w:sz="2" w:space="0" w:color="BFBFBF"/>
              <w:left w:val="single" w:sz="2" w:space="0" w:color="BFBFBF"/>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Version</w:t>
            </w:r>
          </w:p>
        </w:tc>
        <w:tc>
          <w:tcPr>
            <w:tcW w:w="1500"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Date</w:t>
            </w:r>
          </w:p>
        </w:tc>
        <w:tc>
          <w:tcPr>
            <w:tcW w:w="4726"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Nature de la modification</w:t>
            </w:r>
          </w:p>
        </w:tc>
        <w:tc>
          <w:tcPr>
            <w:tcW w:w="1600" w:type="dxa"/>
            <w:tcBorders>
              <w:top w:val="single" w:sz="2" w:space="0" w:color="BFBFBF"/>
              <w:left w:val="single" w:sz="2" w:space="0" w:color="D9D9D9"/>
              <w:bottom w:val="single" w:sz="2" w:space="0" w:color="D9D9D9"/>
              <w:right w:val="single" w:sz="2" w:space="0" w:color="BFBFBF"/>
            </w:tcBorders>
            <w:shd w:fill="1F4E79" w:val="clear"/>
            <w:vAlign w:val="center"/>
          </w:tcPr>
          <w:p>
            <w:pPr>
              <w:pStyle w:val="Normal"/>
              <w:spacing w:lineRule="exact" w:line="252" w:before="0" w:after="0"/>
              <w:jc w:val="left"/>
              <w:rPr/>
            </w:pPr>
            <w:r>
              <w:rPr>
                <w:rFonts w:eastAsia="Arial" w:cs="Arial"/>
                <w:b/>
                <w:bCs/>
                <w:color w:val="FFFFFF"/>
                <w:sz w:val="19"/>
                <w:szCs w:val="19"/>
              </w:rPr>
              <w:t>Auteur</w:t>
            </w:r>
          </w:p>
        </w:tc>
      </w:tr>
      <w:tr>
        <w:trPr/>
        <w:tc>
          <w:tcPr>
            <w:tcW w:w="1199" w:type="dxa"/>
            <w:tcBorders>
              <w:top w:val="single" w:sz="2" w:space="0" w:color="D9D9D9"/>
              <w:left w:val="single" w:sz="2" w:space="0" w:color="BFBFBF"/>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1.0</w:t>
            </w:r>
          </w:p>
        </w:tc>
        <w:tc>
          <w:tcPr>
            <w:tcW w:w="1500"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Juillet 2026</w:t>
            </w:r>
          </w:p>
        </w:tc>
        <w:tc>
          <w:tcPr>
            <w:tcW w:w="4726"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Création du document.</w:t>
            </w:r>
          </w:p>
        </w:tc>
        <w:tc>
          <w:tcPr>
            <w:tcW w:w="1600" w:type="dxa"/>
            <w:tcBorders>
              <w:top w:val="single" w:sz="2" w:space="0" w:color="D9D9D9"/>
              <w:left w:val="single" w:sz="2" w:space="0" w:color="D9D9D9"/>
              <w:bottom w:val="single" w:sz="2" w:space="0" w:color="D9D9D9"/>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[Nom organisation]</w:t>
            </w:r>
          </w:p>
        </w:tc>
      </w:tr>
      <w:tr>
        <w:trPr/>
        <w:tc>
          <w:tcPr>
            <w:tcW w:w="1199" w:type="dxa"/>
            <w:tcBorders>
              <w:top w:val="single" w:sz="2" w:space="0" w:color="D9D9D9"/>
              <w:left w:val="single" w:sz="2" w:space="0" w:color="BFBFBF"/>
              <w:bottom w:val="single" w:sz="2" w:space="0" w:color="BFBFBF"/>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w:t>
            </w:r>
          </w:p>
        </w:tc>
        <w:tc>
          <w:tcPr>
            <w:tcW w:w="1500" w:type="dxa"/>
            <w:tcBorders>
              <w:top w:val="single" w:sz="2" w:space="0" w:color="D9D9D9"/>
              <w:left w:val="single" w:sz="2" w:space="0" w:color="D9D9D9"/>
              <w:bottom w:val="single" w:sz="2" w:space="0" w:color="BFBFBF"/>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__/__/____</w:t>
            </w:r>
          </w:p>
        </w:tc>
        <w:tc>
          <w:tcPr>
            <w:tcW w:w="4726" w:type="dxa"/>
            <w:tcBorders>
              <w:top w:val="single" w:sz="2" w:space="0" w:color="D9D9D9"/>
              <w:left w:val="single" w:sz="2" w:space="0" w:color="D9D9D9"/>
              <w:bottom w:val="single" w:sz="2" w:space="0" w:color="BFBFBF"/>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[À COMPLÉTER : nature de la révision]</w:t>
            </w:r>
          </w:p>
        </w:tc>
        <w:tc>
          <w:tcPr>
            <w:tcW w:w="1600" w:type="dxa"/>
            <w:tcBorders>
              <w:top w:val="single" w:sz="2" w:space="0" w:color="D9D9D9"/>
              <w:left w:val="single" w:sz="2" w:space="0" w:color="D9D9D9"/>
              <w:bottom w:val="single" w:sz="2" w:space="0" w:color="BFBFBF"/>
              <w:right w:val="single" w:sz="2" w:space="0" w:color="BFBFBF"/>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w:t>
            </w:r>
          </w:p>
        </w:tc>
      </w:tr>
    </w:tbl>
    <w:p>
      <w:pPr>
        <w:pStyle w:val="Normal"/>
        <w:spacing w:before="0" w:after="120"/>
        <w:rPr/>
      </w:pPr>
      <w:r>
        <w:rPr/>
      </w:r>
    </w:p>
    <w:p>
      <w:pPr>
        <w:pStyle w:val="Normal"/>
        <w:spacing w:before="180" w:after="90"/>
        <w:rPr/>
      </w:pPr>
      <w:r>
        <w:rPr>
          <w:rFonts w:eastAsia="Arial" w:cs="Arial"/>
          <w:b/>
          <w:bCs/>
          <w:color w:val="2E75B6"/>
          <w:sz w:val="23"/>
          <w:szCs w:val="23"/>
        </w:rPr>
        <w:t>Objet du document</w:t>
      </w:r>
    </w:p>
    <w:p>
      <w:pPr>
        <w:pStyle w:val="Normal"/>
        <w:spacing w:lineRule="exact" w:line="276" w:before="0" w:after="120"/>
        <w:jc w:val="both"/>
        <w:rPr/>
      </w:pPr>
      <w:r>
        <w:rPr>
          <w:rFonts w:eastAsia="Arial" w:cs="Arial"/>
          <w:b w:val="false"/>
          <w:bCs w:val="false"/>
          <w:i w:val="false"/>
          <w:iCs w:val="false"/>
          <w:color w:val="222222"/>
          <w:sz w:val="20"/>
          <w:szCs w:val="20"/>
        </w:rPr>
        <w:t>Ce document formalise la politique de santé et de sécurité au travail (S&amp;ST) de l'organisme : les intentions et orientations formulées par la direction, les engagements qui en découlent, et le cadre dans lequel s'inscrivent les objectifs SST. Il satisfait l'exigence §5.2 de l'ISO 45001:2018.</w:t>
      </w:r>
    </w:p>
    <w:p>
      <w:pPr>
        <w:pStyle w:val="Normal"/>
        <w:rPr/>
      </w:pPr>
      <w:r>
        <w:rPr/>
      </w:r>
      <w:r>
        <w:br w:type="page"/>
      </w:r>
    </w:p>
    <w:p>
      <w:pPr>
        <w:pStyle w:val="Normal"/>
        <w:pBdr>
          <w:bottom w:val="single" w:sz="12" w:space="4" w:color="4F9B3E"/>
        </w:pBdr>
        <w:spacing w:before="0" w:after="140"/>
        <w:rPr/>
      </w:pPr>
      <w:r>
        <w:rPr>
          <w:rFonts w:eastAsia="Arial" w:cs="Arial"/>
          <w:b/>
          <w:bCs/>
          <w:color w:val="1F4E79"/>
          <w:sz w:val="28"/>
          <w:szCs w:val="28"/>
        </w:rPr>
        <w:t>Sommaire</w:t>
      </w:r>
    </w:p>
    <w:p>
      <w:pPr>
        <w:pStyle w:val="Normal"/>
        <w:spacing w:before="0" w:after="60"/>
        <w:rPr/>
      </w:pPr>
      <w:r>
        <w:rPr>
          <w:rFonts w:eastAsia="Arial" w:cs="Arial"/>
          <w:i/>
          <w:iCs/>
          <w:color w:val="595959"/>
          <w:sz w:val="17"/>
          <w:szCs w:val="17"/>
        </w:rPr>
        <w:t>Sommaire automatique, déjà à jour. Après ajout ou suppression de sections, actualisez-le : clic droit ▸ « Mettre à jour les champs », ou Ctrl+A puis F9.</w:t>
      </w:r>
    </w:p>
    <w:sdt>
      <w:sdtPr>
        <w:docPartObj>
          <w:docPartGallery w:val="Table of Contents"/>
          <w:docPartUnique w:val="true"/>
        </w:docPartObj>
      </w:sdtPr>
      <w:sdtContent>
        <w:p>
          <w:pPr>
            <w:pStyle w:val="TOCHeading"/>
            <w:rPr/>
          </w:pPr>
          <w:r>
            <w:rPr/>
          </w:r>
        </w:p>
        <w:p>
          <w:pPr>
            <w:pStyle w:val="BodyText"/>
            <w:spacing w:lineRule="auto" w:line="276" w:before="0" w:after="140"/>
            <w:rPr/>
          </w:pPr>
          <w:r>
            <w:fldChar w:fldCharType="begin"/>
          </w:r>
          <w:r>
            <w:rPr/>
            <w:instrText xml:space="preserve"> TOC \z \o "1-3" \u \h</w:instrText>
          </w:r>
          <w:r>
            <w:rPr/>
            <w:fldChar w:fldCharType="separate"/>
          </w:r>
          <w:r>
            <w:rPr/>
          </w:r>
          <w:r>
            <w:rPr/>
            <w:fldChar w:fldCharType="end"/>
          </w:r>
        </w:p>
      </w:sdtContent>
    </w:sdt>
    <w:p>
      <w:pPr>
        <w:pStyle w:val="BodyText"/>
        <w:spacing w:lineRule="auto" w:line="276" w:before="0" w:after="140"/>
        <w:rPr/>
      </w:pPr>
      <w:r>
        <w:rPr/>
      </w:r>
    </w:p>
    <w:p>
      <w:pPr>
        <w:pStyle w:val="Normal"/>
        <w:rPr/>
      </w:pPr>
      <w:r>
        <w:rPr/>
      </w:r>
    </w:p>
    <w:p>
      <w:pPr>
        <w:pStyle w:val="Normal"/>
        <w:rPr/>
      </w:pPr>
      <w:r>
        <w:rPr/>
      </w:r>
      <w:r>
        <w:br w:type="page"/>
      </w:r>
    </w:p>
    <w:p>
      <w:pPr>
        <w:pStyle w:val="Heading1"/>
        <w:pBdr>
          <w:bottom w:val="single" w:sz="12" w:space="4" w:color="4F9B3E"/>
        </w:pBdr>
        <w:spacing w:before="0" w:after="140"/>
        <w:rPr/>
      </w:pPr>
      <w:r>
        <w:rPr>
          <w:rFonts w:eastAsia="Arial" w:cs="Arial" w:ascii="Arial" w:hAnsi="Arial"/>
          <w:b/>
          <w:bCs/>
          <w:color w:val="1F4E79"/>
          <w:sz w:val="28"/>
          <w:szCs w:val="28"/>
        </w:rPr>
        <w:t>1. Objet et cadre</w:t>
      </w:r>
    </w:p>
    <w:p>
      <w:pPr>
        <w:pStyle w:val="Normal"/>
        <w:spacing w:lineRule="exact" w:line="276" w:before="0" w:after="120"/>
        <w:jc w:val="both"/>
        <w:rPr/>
      </w:pPr>
      <w:r>
        <w:rPr>
          <w:rFonts w:eastAsia="Arial" w:cs="Arial"/>
          <w:b w:val="false"/>
          <w:bCs w:val="false"/>
          <w:i w:val="false"/>
          <w:iCs w:val="false"/>
          <w:color w:val="222222"/>
          <w:sz w:val="20"/>
          <w:szCs w:val="20"/>
        </w:rPr>
        <w:t>La direction établit, met en œuvre et tient à jour la présente politique de S&amp;ST. Elle exprime son engagement pour la prévention des traumatismes et pathologies liés au travail et pour la mise à disposition de lieux de travail sûrs et sains. Elle fournit le cadre à partir duquel sont fixés les objectifs SST (§6.2) et oriente l'ensemble du système de management.</w:t>
      </w:r>
    </w:p>
    <w:p>
      <w:pPr>
        <w:pStyle w:val="Normal"/>
        <w:rPr/>
      </w:pPr>
      <w:r>
        <w:rPr/>
      </w:r>
    </w:p>
    <w:p>
      <w:pPr>
        <w:pStyle w:val="Normal"/>
        <w:rPr/>
      </w:pPr>
      <w:r>
        <w:rPr>
          <w:sz w:val="22"/>
        </w:rPr>
        <w:t>La présente Politique de Santé et de Sécurité au Travail (SST) exprime l'engagement formel de la Direction de [Nom organisation] en matière de prévention des risques professionnels et de préservation de la santé et de la sécurité de l'ensemble des travailleurs présents sur ses sites.</w:t>
      </w:r>
    </w:p>
    <w:p>
      <w:pPr>
        <w:pStyle w:val="Normal"/>
        <w:rPr/>
      </w:pPr>
      <w:r>
        <w:rPr/>
      </w:r>
    </w:p>
    <w:p>
      <w:pPr>
        <w:pStyle w:val="Normal"/>
        <w:rPr/>
      </w:pPr>
      <w:r>
        <w:rPr>
          <w:sz w:val="22"/>
        </w:rPr>
        <w:t>Elle constitue le document fondateur du Système de Management de la Santé et de la Sécurité au Travail (SMSST) déployé conformément aux exigences de la norme ISO 45001:2018. Elle donne le cadre stratégique dans lequel s'inscrivent tous les processus, procédures, objectifs et actions du SMSST.</w:t>
      </w:r>
    </w:p>
    <w:p>
      <w:pPr>
        <w:pStyle w:val="Normal"/>
        <w:rPr/>
      </w:pPr>
      <w:r>
        <w:rPr/>
      </w:r>
    </w:p>
    <w:p>
      <w:pPr>
        <w:pStyle w:val="Normal"/>
        <w:rPr/>
      </w:pPr>
      <w:r>
        <w:rPr>
          <w:sz w:val="22"/>
        </w:rPr>
        <w:t>Cette politique s'applique :</w:t>
      </w:r>
    </w:p>
    <w:p>
      <w:pPr>
        <w:pStyle w:val="Normal"/>
        <w:ind w:left="454"/>
        <w:rPr/>
      </w:pPr>
      <w:r>
        <w:rPr>
          <w:sz w:val="22"/>
        </w:rPr>
        <w:t xml:space="preserve">•  </w:t>
      </w:r>
      <w:r>
        <w:rPr>
          <w:sz w:val="22"/>
        </w:rPr>
        <w:t>À l'ensemble des activités, sites, installations et équipements de [Nom organisation].</w:t>
      </w:r>
    </w:p>
    <w:p>
      <w:pPr>
        <w:pStyle w:val="Normal"/>
        <w:ind w:left="454"/>
        <w:rPr/>
      </w:pPr>
      <w:r>
        <w:rPr>
          <w:sz w:val="22"/>
        </w:rPr>
        <w:t xml:space="preserve">•  </w:t>
      </w:r>
      <w:r>
        <w:rPr>
          <w:sz w:val="22"/>
        </w:rPr>
        <w:t>À tous les travailleurs sans distinction : personnel permanent, intérimaires, stagiaires, apprentis, prestataires et visiteurs.</w:t>
      </w:r>
    </w:p>
    <w:p>
      <w:pPr>
        <w:pStyle w:val="Normal"/>
        <w:ind w:left="454"/>
        <w:rPr/>
      </w:pPr>
      <w:r>
        <w:rPr>
          <w:sz w:val="22"/>
        </w:rPr>
        <w:t xml:space="preserve">•  </w:t>
      </w:r>
      <w:r>
        <w:rPr>
          <w:sz w:val="22"/>
        </w:rPr>
        <w:t>Aux relations avec l'ensemble des parties intéressées : clients, sous-traitants, fournisseurs, autorités, médecine du travail, communautés locales.</w:t>
      </w:r>
    </w:p>
    <w:p>
      <w:pPr>
        <w:pStyle w:val="Normal"/>
        <w:rPr/>
      </w:pPr>
      <w:r>
        <w:rPr/>
      </w:r>
    </w:p>
    <w:p>
      <w:pPr>
        <w:pStyle w:val="Normal"/>
        <w:rPr/>
      </w:pPr>
      <w:r>
        <w:rPr>
          <w:sz w:val="22"/>
        </w:rPr>
        <w:t>Elle est cohérente avec l'analyse du contexte de l'organisation (§4.1), les besoins et attentes des parties intéressées (§4.2), et la stratégie globale de [Nom organisation].</w:t>
      </w:r>
    </w:p>
    <w:p>
      <w:pPr>
        <w:pStyle w:val="Heading1"/>
        <w:pBdr>
          <w:bottom w:val="single" w:sz="12" w:space="4" w:color="4F9B3E"/>
        </w:pBdr>
        <w:spacing w:before="260" w:after="140"/>
        <w:rPr/>
      </w:pPr>
      <w:r>
        <w:rPr>
          <w:rFonts w:eastAsia="Arial" w:cs="Arial" w:ascii="Arial" w:hAnsi="Arial"/>
          <w:b/>
          <w:bCs/>
          <w:color w:val="1F4E79"/>
          <w:sz w:val="28"/>
          <w:szCs w:val="28"/>
        </w:rPr>
        <w:t>2. Notre engagement</w:t>
      </w:r>
    </w:p>
    <w:p>
      <w:pPr>
        <w:pStyle w:val="Normal"/>
        <w:spacing w:lineRule="exact" w:line="276" w:before="0" w:after="120"/>
        <w:jc w:val="both"/>
        <w:rPr/>
      </w:pPr>
      <w:r>
        <w:rPr>
          <w:rFonts w:eastAsia="Arial" w:cs="Arial"/>
          <w:b w:val="false"/>
          <w:bCs w:val="false"/>
          <w:i w:val="false"/>
          <w:iCs w:val="false"/>
          <w:color w:val="222222"/>
          <w:sz w:val="20"/>
          <w:szCs w:val="20"/>
        </w:rPr>
        <w:t xml:space="preserve">La direction de </w:t>
      </w:r>
      <w:r>
        <w:rPr>
          <w:rFonts w:eastAsia="Arial" w:cs="Arial"/>
          <w:b/>
          <w:bCs/>
          <w:i w:val="false"/>
          <w:iCs w:val="false"/>
          <w:color w:val="2E75B6"/>
          <w:sz w:val="20"/>
          <w:szCs w:val="20"/>
        </w:rPr>
        <w:t>[NOM DE L'ORGANISME]</w:t>
      </w:r>
      <w:r>
        <w:rPr>
          <w:rFonts w:eastAsia="Arial" w:cs="Arial"/>
          <w:b w:val="false"/>
          <w:bCs w:val="false"/>
          <w:i w:val="false"/>
          <w:iCs w:val="false"/>
          <w:color w:val="222222"/>
          <w:sz w:val="20"/>
          <w:szCs w:val="20"/>
        </w:rPr>
        <w:t xml:space="preserve"> s'engage à :</w:t>
      </w:r>
    </w:p>
    <w:p>
      <w:pPr>
        <w:pStyle w:val="ListParagraph"/>
        <w:numPr>
          <w:ilvl w:val="0"/>
          <w:numId w:val="17"/>
        </w:numPr>
        <w:spacing w:lineRule="exact" w:line="264" w:before="0" w:after="60"/>
        <w:rPr/>
      </w:pPr>
      <w:r>
        <w:rPr>
          <w:rFonts w:eastAsia="Arial" w:cs="Arial"/>
          <w:b/>
          <w:bCs/>
          <w:i w:val="false"/>
          <w:iCs w:val="false"/>
          <w:color w:val="222222"/>
          <w:sz w:val="20"/>
          <w:szCs w:val="20"/>
        </w:rPr>
        <w:t>Procurer des conditions de travail sûres et saines</w:t>
      </w:r>
      <w:r>
        <w:rPr>
          <w:rFonts w:eastAsia="Arial" w:cs="Arial"/>
          <w:b w:val="false"/>
          <w:bCs w:val="false"/>
          <w:i w:val="false"/>
          <w:iCs w:val="false"/>
          <w:color w:val="222222"/>
          <w:sz w:val="20"/>
          <w:szCs w:val="20"/>
        </w:rPr>
        <w:t xml:space="preserve"> pour prévenir les traumatismes et pathologies liés au travail, de façon appropriée à sa finalité, sa taille, son contexte et à la nature spécifique de ses risques et opportunités pour la S&amp;ST.</w:t>
      </w:r>
    </w:p>
    <w:p>
      <w:pPr>
        <w:pStyle w:val="ListParagraph"/>
        <w:numPr>
          <w:ilvl w:val="0"/>
          <w:numId w:val="18"/>
        </w:numPr>
        <w:spacing w:lineRule="exact" w:line="264" w:before="0" w:after="60"/>
        <w:rPr/>
      </w:pPr>
      <w:r>
        <w:rPr>
          <w:rFonts w:eastAsia="Arial" w:cs="Arial"/>
          <w:b/>
          <w:bCs/>
          <w:i w:val="false"/>
          <w:iCs w:val="false"/>
          <w:color w:val="222222"/>
          <w:sz w:val="20"/>
          <w:szCs w:val="20"/>
        </w:rPr>
        <w:t>Fournir un cadre pour l'établissement des objectifs SST</w:t>
      </w:r>
      <w:r>
        <w:rPr>
          <w:rFonts w:eastAsia="Arial" w:cs="Arial"/>
          <w:b w:val="false"/>
          <w:bCs w:val="false"/>
          <w:i w:val="false"/>
          <w:iCs w:val="false"/>
          <w:color w:val="222222"/>
          <w:sz w:val="20"/>
          <w:szCs w:val="20"/>
        </w:rPr>
        <w:t xml:space="preserve"> et en assurer le suivi.</w:t>
      </w:r>
    </w:p>
    <w:p>
      <w:pPr>
        <w:pStyle w:val="ListParagraph"/>
        <w:numPr>
          <w:ilvl w:val="0"/>
          <w:numId w:val="19"/>
        </w:numPr>
        <w:spacing w:lineRule="exact" w:line="264" w:before="0" w:after="60"/>
        <w:rPr/>
      </w:pPr>
      <w:r>
        <w:rPr>
          <w:rFonts w:eastAsia="Arial" w:cs="Arial"/>
          <w:b/>
          <w:bCs/>
          <w:i w:val="false"/>
          <w:iCs w:val="false"/>
          <w:color w:val="222222"/>
          <w:sz w:val="20"/>
          <w:szCs w:val="20"/>
        </w:rPr>
        <w:t>Satisfaire aux exigences légales et autres exigences</w:t>
      </w:r>
      <w:r>
        <w:rPr>
          <w:rFonts w:eastAsia="Arial" w:cs="Arial"/>
          <w:b w:val="false"/>
          <w:bCs w:val="false"/>
          <w:i w:val="false"/>
          <w:iCs w:val="false"/>
          <w:color w:val="222222"/>
          <w:sz w:val="20"/>
          <w:szCs w:val="20"/>
        </w:rPr>
        <w:t xml:space="preserve"> applicables à ses dangers et à son système.</w:t>
      </w:r>
    </w:p>
    <w:p>
      <w:pPr>
        <w:pStyle w:val="ListParagraph"/>
        <w:numPr>
          <w:ilvl w:val="0"/>
          <w:numId w:val="20"/>
        </w:numPr>
        <w:spacing w:lineRule="exact" w:line="264" w:before="0" w:after="60"/>
        <w:rPr/>
      </w:pPr>
      <w:r>
        <w:rPr>
          <w:rFonts w:eastAsia="Arial" w:cs="Arial"/>
          <w:b/>
          <w:bCs/>
          <w:i w:val="false"/>
          <w:iCs w:val="false"/>
          <w:color w:val="222222"/>
          <w:sz w:val="20"/>
          <w:szCs w:val="20"/>
        </w:rPr>
        <w:t>Éliminer les dangers et réduire les risques pour la S&amp;ST</w:t>
      </w:r>
      <w:r>
        <w:rPr>
          <w:rFonts w:eastAsia="Arial" w:cs="Arial"/>
          <w:b w:val="false"/>
          <w:bCs w:val="false"/>
          <w:i w:val="false"/>
          <w:iCs w:val="false"/>
          <w:color w:val="222222"/>
          <w:sz w:val="20"/>
          <w:szCs w:val="20"/>
        </w:rPr>
        <w:t xml:space="preserve"> en appliquant la hiérarchie des mesures de prévention (§8.1.2).</w:t>
      </w:r>
    </w:p>
    <w:p>
      <w:pPr>
        <w:pStyle w:val="ListParagraph"/>
        <w:numPr>
          <w:ilvl w:val="0"/>
          <w:numId w:val="21"/>
        </w:numPr>
        <w:spacing w:lineRule="exact" w:line="264" w:before="0" w:after="60"/>
        <w:rPr/>
      </w:pPr>
      <w:r>
        <w:rPr>
          <w:rFonts w:eastAsia="Arial" w:cs="Arial"/>
          <w:b/>
          <w:bCs/>
          <w:i w:val="false"/>
          <w:iCs w:val="false"/>
          <w:color w:val="222222"/>
          <w:sz w:val="20"/>
          <w:szCs w:val="20"/>
        </w:rPr>
        <w:t>Améliorer en continu le système de management de la S&amp;ST</w:t>
      </w:r>
      <w:r>
        <w:rPr>
          <w:rFonts w:eastAsia="Arial" w:cs="Arial"/>
          <w:b w:val="false"/>
          <w:bCs w:val="false"/>
          <w:i w:val="false"/>
          <w:iCs w:val="false"/>
          <w:color w:val="222222"/>
          <w:sz w:val="20"/>
          <w:szCs w:val="20"/>
        </w:rPr>
        <w:t xml:space="preserve"> et la performance SST.</w:t>
      </w:r>
    </w:p>
    <w:p>
      <w:pPr>
        <w:pStyle w:val="ListParagraph"/>
        <w:numPr>
          <w:ilvl w:val="0"/>
          <w:numId w:val="22"/>
        </w:numPr>
        <w:spacing w:lineRule="exact" w:line="264" w:before="0" w:after="60"/>
        <w:rPr/>
      </w:pPr>
      <w:r>
        <w:rPr>
          <w:rFonts w:eastAsia="Arial" w:cs="Arial"/>
          <w:b/>
          <w:bCs/>
          <w:i w:val="false"/>
          <w:iCs w:val="false"/>
          <w:color w:val="222222"/>
          <w:sz w:val="20"/>
          <w:szCs w:val="20"/>
        </w:rPr>
        <w:t>Consulter et faire participer les travailleurs</w:t>
      </w:r>
      <w:r>
        <w:rPr>
          <w:rFonts w:eastAsia="Arial" w:cs="Arial"/>
          <w:b w:val="false"/>
          <w:bCs w:val="false"/>
          <w:i w:val="false"/>
          <w:iCs w:val="false"/>
          <w:color w:val="222222"/>
          <w:sz w:val="20"/>
          <w:szCs w:val="20"/>
        </w:rPr>
        <w:t xml:space="preserve"> et, quand ils existent, leurs représentants, à tous les niveaux (§5.4).</w:t>
      </w:r>
    </w:p>
    <w:p>
      <w:pPr>
        <w:pStyle w:val="Normal"/>
        <w:rPr/>
      </w:pPr>
      <w:r>
        <w:rPr/>
      </w:r>
    </w:p>
    <w:p>
      <w:pPr>
        <w:pStyle w:val="Normal"/>
        <w:rPr/>
      </w:pPr>
      <w:r>
        <w:rPr>
          <w:sz w:val="22"/>
        </w:rPr>
        <w:t>La Direction de [Nom organisation] s'engage formellement, à travers cette politique, à porter les 6 engagements fondamentaux suivants :</w:t>
      </w:r>
    </w:p>
    <w:p>
      <w:pPr>
        <w:pStyle w:val="Normal"/>
        <w:rPr/>
      </w:pPr>
      <w:r>
        <w:rPr/>
      </w:r>
    </w:p>
    <w:p>
      <w:pPr>
        <w:pStyle w:val="Heading2"/>
        <w:rPr/>
      </w:pPr>
      <w:r>
        <w:rPr>
          <w:rFonts w:ascii="Arial" w:hAnsi="Arial"/>
          <w:b/>
          <w:color w:val="1F4E79"/>
          <w:sz w:val="24"/>
        </w:rPr>
        <w:t>2.1  Prévenir les traumatismes et les pathologies liés au travail</w:t>
      </w:r>
    </w:p>
    <w:p>
      <w:pPr>
        <w:pStyle w:val="Normal"/>
        <w:rPr/>
      </w:pPr>
      <w:r>
        <w:rPr>
          <w:sz w:val="22"/>
        </w:rPr>
        <w:t>Nous nous engageons à mettre en œuvre tous les moyens nécessaires pour offrir des conditions de travail sûres et saines à l'ensemble des travailleurs. Cet engagement porte sur la prévention primaire (élimination des dangers à la source), la prévention secondaire (dépistage) et tertiaire (limitation des conséquences). Il couvre les risques physiques, chimiques, biologiques, ergonomiques et psychosociaux.</w:t>
      </w:r>
    </w:p>
    <w:p>
      <w:pPr>
        <w:pStyle w:val="Normal"/>
        <w:rPr/>
      </w:pPr>
      <w:r>
        <w:rPr/>
      </w:r>
    </w:p>
    <w:p>
      <w:pPr>
        <w:pStyle w:val="Heading2"/>
        <w:rPr/>
      </w:pPr>
      <w:r>
        <w:rPr>
          <w:rFonts w:ascii="Arial" w:hAnsi="Arial"/>
          <w:b/>
          <w:color w:val="1F4E79"/>
          <w:sz w:val="24"/>
        </w:rPr>
        <w:t>2.2  Assurer la conformité aux obligations légales et autres exigences</w:t>
      </w:r>
    </w:p>
    <w:p>
      <w:pPr>
        <w:pStyle w:val="Normal"/>
        <w:rPr/>
      </w:pPr>
      <w:r>
        <w:rPr>
          <w:sz w:val="22"/>
        </w:rPr>
        <w:t>Nous nous engageons à respecter l'ensemble des exigences légales applicables (Code du travail, décrets, arrêtés sectoriels) ainsi que les autres exigences auxquelles nous souscrivons volontairement (conventions collectives, engagements clients, chartes sectorielles). Une veille active et une évaluation périodique de conformité (§9.1.2) sont assurées.</w:t>
      </w:r>
    </w:p>
    <w:p>
      <w:pPr>
        <w:pStyle w:val="Normal"/>
        <w:rPr/>
      </w:pPr>
      <w:r>
        <w:rPr/>
      </w:r>
    </w:p>
    <w:p>
      <w:pPr>
        <w:pStyle w:val="Heading2"/>
        <w:rPr/>
      </w:pPr>
      <w:r>
        <w:rPr>
          <w:rFonts w:ascii="Arial" w:hAnsi="Arial"/>
          <w:b/>
          <w:color w:val="1F4E79"/>
          <w:sz w:val="24"/>
        </w:rPr>
        <w:t>2.3  Éliminer les dangers et réduire les risques SST</w:t>
      </w:r>
    </w:p>
    <w:p>
      <w:pPr>
        <w:pStyle w:val="Normal"/>
        <w:rPr/>
      </w:pPr>
      <w:r>
        <w:rPr>
          <w:sz w:val="22"/>
        </w:rPr>
        <w:t>Nous nous engageons à appliquer strictement la hiérarchie des mesures de maîtrise (§8.1.2) pour tout risque identifié : élimination du danger &gt; substitution &gt; mesures d'ingénierie &gt; mesures administratives &gt; équipements de protection individuelle. Le recours aux EPI n'est envisagé qu'en dernier ressort, après avoir démontré l'impossibilité des mesures supérieures.</w:t>
      </w:r>
    </w:p>
    <w:p>
      <w:pPr>
        <w:pStyle w:val="Normal"/>
        <w:rPr/>
      </w:pPr>
      <w:r>
        <w:rPr/>
      </w:r>
    </w:p>
    <w:p>
      <w:pPr>
        <w:pStyle w:val="Heading2"/>
        <w:rPr/>
      </w:pPr>
      <w:r>
        <w:rPr>
          <w:rFonts w:ascii="Arial" w:hAnsi="Arial"/>
          <w:b/>
          <w:color w:val="1F4E79"/>
          <w:sz w:val="24"/>
        </w:rPr>
        <w:t>2.4  Consulter et faire participer les travailleurs</w:t>
      </w:r>
    </w:p>
    <w:p>
      <w:pPr>
        <w:pStyle w:val="Normal"/>
        <w:rPr/>
      </w:pPr>
      <w:r>
        <w:rPr>
          <w:sz w:val="22"/>
        </w:rPr>
        <w:t>Nous nous engageons à consulter les travailleurs et leurs représentants avant les décisions ayant un impact sur leur santé et leur sécurité (§5.4 b), et à les faire participer activement à l'identification des dangers, à l'évaluation des risques et à la définition des mesures de maîtrise (§5.4 c). Nous garantissons la protection contre toute forme de représailles pour l'exercice de ces droits.</w:t>
      </w:r>
    </w:p>
    <w:p>
      <w:pPr>
        <w:pStyle w:val="Normal"/>
        <w:rPr/>
      </w:pPr>
      <w:r>
        <w:rPr/>
      </w:r>
    </w:p>
    <w:p>
      <w:pPr>
        <w:pStyle w:val="Heading2"/>
        <w:rPr/>
      </w:pPr>
      <w:r>
        <w:rPr>
          <w:rFonts w:ascii="Arial" w:hAnsi="Arial"/>
          <w:b/>
          <w:color w:val="1F4E79"/>
          <w:sz w:val="24"/>
        </w:rPr>
        <w:t>2.5  Améliorer en continu le SMSST</w:t>
      </w:r>
    </w:p>
    <w:p>
      <w:pPr>
        <w:pStyle w:val="Normal"/>
        <w:rPr/>
      </w:pPr>
      <w:r>
        <w:rPr>
          <w:sz w:val="22"/>
        </w:rPr>
        <w:t>Nous nous engageons à améliorer en continu (§10.3) l'adéquation, la pertinence et l'efficacité du SMSST à travers le cycle PDCA (Plan-Do-Check-Act). Nous exploitons systématiquement les retours d'expérience, les résultats des audits, des revues de direction et des remontées terrain pour identifier et mettre en œuvre les améliorations.</w:t>
      </w:r>
    </w:p>
    <w:p>
      <w:pPr>
        <w:pStyle w:val="Normal"/>
        <w:rPr/>
      </w:pPr>
      <w:r>
        <w:rPr/>
      </w:r>
    </w:p>
    <w:p>
      <w:pPr>
        <w:pStyle w:val="Heading2"/>
        <w:rPr/>
      </w:pPr>
      <w:r>
        <w:rPr>
          <w:rFonts w:ascii="Arial" w:hAnsi="Arial"/>
          <w:b/>
          <w:color w:val="1F4E79"/>
          <w:sz w:val="24"/>
        </w:rPr>
        <w:t>2.6  Allouer les ressources nécessaires</w:t>
      </w:r>
    </w:p>
    <w:p>
      <w:pPr>
        <w:pStyle w:val="Normal"/>
        <w:rPr/>
      </w:pPr>
      <w:r>
        <w:rPr>
          <w:sz w:val="22"/>
        </w:rPr>
        <w:t>Nous nous engageons à mettre à disposition les ressources humaines, matérielles, financières et informationnelles nécessaires au déploiement et à la performance du SMSST. Le budget SST est arbitré annuellement en cohérence avec les objectifs et les enjeux identifiés.</w:t>
      </w:r>
    </w:p>
    <w:p>
      <w:pPr>
        <w:pStyle w:val="Heading1"/>
        <w:pBdr>
          <w:bottom w:val="single" w:sz="12" w:space="4" w:color="4F9B3E"/>
        </w:pBdr>
        <w:spacing w:before="260" w:after="140"/>
        <w:rPr/>
      </w:pPr>
      <w:r>
        <w:rPr>
          <w:rFonts w:eastAsia="Arial" w:cs="Arial" w:ascii="Arial" w:hAnsi="Arial"/>
          <w:b/>
          <w:bCs/>
          <w:color w:val="1F4E79"/>
          <w:sz w:val="28"/>
          <w:szCs w:val="28"/>
        </w:rPr>
        <w:t>3. Priorités et principes d'action</w:t>
      </w:r>
    </w:p>
    <w:p>
      <w:pPr>
        <w:pStyle w:val="Normal"/>
        <w:spacing w:lineRule="exact" w:line="276" w:before="0" w:after="120"/>
        <w:jc w:val="both"/>
        <w:rPr/>
      </w:pPr>
      <w:r>
        <w:rPr>
          <w:rFonts w:eastAsia="Arial" w:cs="Arial"/>
          <w:b w:val="false"/>
          <w:bCs w:val="false"/>
          <w:i w:val="false"/>
          <w:iCs w:val="false"/>
          <w:color w:val="222222"/>
          <w:sz w:val="20"/>
          <w:szCs w:val="20"/>
        </w:rPr>
        <w:t>Compte tenu de la nature de nos activités, la direction porte une vigilance particulière aux risques suivants :</w:t>
      </w:r>
    </w:p>
    <w:p>
      <w:pPr>
        <w:pStyle w:val="ListParagraph"/>
        <w:numPr>
          <w:ilvl w:val="0"/>
          <w:numId w:val="23"/>
        </w:numPr>
        <w:spacing w:lineRule="exact" w:line="264" w:before="0" w:after="60"/>
        <w:rPr/>
      </w:pPr>
      <w:r>
        <w:rPr>
          <w:rFonts w:eastAsia="Arial" w:cs="Arial"/>
          <w:b w:val="false"/>
          <w:bCs w:val="false"/>
          <w:i w:val="false"/>
          <w:iCs w:val="false"/>
          <w:color w:val="222222"/>
          <w:sz w:val="20"/>
          <w:szCs w:val="20"/>
        </w:rPr>
        <w:t>Travail en hauteur et prévention des chutes ;</w:t>
      </w:r>
    </w:p>
    <w:p>
      <w:pPr>
        <w:pStyle w:val="ListParagraph"/>
        <w:numPr>
          <w:ilvl w:val="0"/>
          <w:numId w:val="24"/>
        </w:numPr>
        <w:spacing w:lineRule="exact" w:line="264" w:before="0" w:after="60"/>
        <w:rPr/>
      </w:pPr>
      <w:r>
        <w:rPr>
          <w:rFonts w:eastAsia="Arial" w:cs="Arial"/>
          <w:b w:val="false"/>
          <w:bCs w:val="false"/>
          <w:i w:val="false"/>
          <w:iCs w:val="false"/>
          <w:color w:val="222222"/>
          <w:sz w:val="20"/>
          <w:szCs w:val="20"/>
        </w:rPr>
        <w:t>Circulation et coactivité engins / piétons ;</w:t>
      </w:r>
    </w:p>
    <w:p>
      <w:pPr>
        <w:pStyle w:val="ListParagraph"/>
        <w:numPr>
          <w:ilvl w:val="0"/>
          <w:numId w:val="25"/>
        </w:numPr>
        <w:spacing w:lineRule="exact" w:line="264" w:before="0" w:after="60"/>
        <w:rPr/>
      </w:pPr>
      <w:r>
        <w:rPr>
          <w:rFonts w:eastAsia="Arial" w:cs="Arial"/>
          <w:b w:val="false"/>
          <w:bCs w:val="false"/>
          <w:i w:val="false"/>
          <w:iCs w:val="false"/>
          <w:color w:val="222222"/>
          <w:sz w:val="20"/>
          <w:szCs w:val="20"/>
        </w:rPr>
        <w:t>Fouilles, tranchées et risque d'ensevelissement ;</w:t>
      </w:r>
    </w:p>
    <w:p>
      <w:pPr>
        <w:pStyle w:val="ListParagraph"/>
        <w:numPr>
          <w:ilvl w:val="0"/>
          <w:numId w:val="26"/>
        </w:numPr>
        <w:spacing w:lineRule="exact" w:line="264" w:before="0" w:after="60"/>
        <w:rPr/>
      </w:pPr>
      <w:r>
        <w:rPr>
          <w:rFonts w:eastAsia="Arial" w:cs="Arial"/>
          <w:b w:val="false"/>
          <w:bCs w:val="false"/>
          <w:i w:val="false"/>
          <w:iCs w:val="false"/>
          <w:color w:val="222222"/>
          <w:sz w:val="20"/>
          <w:szCs w:val="20"/>
        </w:rPr>
        <w:t>Coactivité entre entreprises et maîtrise des sous-traitants ;</w:t>
      </w:r>
    </w:p>
    <w:p>
      <w:pPr>
        <w:pStyle w:val="ListParagraph"/>
        <w:numPr>
          <w:ilvl w:val="0"/>
          <w:numId w:val="27"/>
        </w:numPr>
        <w:spacing w:lineRule="exact" w:line="264" w:before="0" w:after="60"/>
        <w:rPr/>
      </w:pPr>
      <w:r>
        <w:rPr>
          <w:rFonts w:eastAsia="Arial" w:cs="Arial"/>
          <w:b w:val="false"/>
          <w:bCs w:val="false"/>
          <w:i w:val="false"/>
          <w:iCs w:val="false"/>
          <w:color w:val="222222"/>
          <w:sz w:val="20"/>
          <w:szCs w:val="20"/>
        </w:rPr>
        <w:t>Montage, utilisation et démontage des échafaudages.</w:t>
      </w:r>
    </w:p>
    <w:p>
      <w:pPr>
        <w:pStyle w:val="Normal"/>
        <w:pBdr>
          <w:top w:val="single" w:sz="6" w:space="0" w:color="F5A623"/>
          <w:left w:val="single" w:sz="18" w:space="0" w:color="F5A623"/>
          <w:bottom w:val="single" w:sz="6" w:space="0" w:color="F5A623"/>
          <w:right w:val="single" w:sz="6" w:space="0" w:color="F5A623"/>
        </w:pBdr>
        <w:shd w:val="clear" w:fill="FDF0D5"/>
        <w:spacing w:before="60" w:after="120"/>
        <w:rPr/>
      </w:pPr>
      <w:r>
        <w:rPr>
          <w:rFonts w:eastAsia="Arial" w:cs="Arial"/>
          <w:b/>
          <w:bCs/>
          <w:color w:val="8A5A00"/>
          <w:sz w:val="19"/>
          <w:szCs w:val="19"/>
        </w:rPr>
        <w:t xml:space="preserve">⚑  </w:t>
      </w:r>
      <w:r>
        <w:rPr>
          <w:rFonts w:eastAsia="Arial" w:cs="Arial"/>
          <w:b/>
          <w:bCs/>
          <w:color w:val="8A5A00"/>
          <w:sz w:val="19"/>
          <w:szCs w:val="19"/>
        </w:rPr>
        <w:t>[À COMPLÉTER : ajuster ces priorités aux activités et dangers réels de l'organisme si le secteur diffère du BTP.]</w:t>
      </w:r>
    </w:p>
    <w:p>
      <w:pPr>
        <w:pStyle w:val="Normal"/>
        <w:spacing w:lineRule="exact" w:line="276" w:before="0" w:after="120"/>
        <w:jc w:val="both"/>
        <w:rPr/>
      </w:pPr>
      <w:r>
        <w:rPr>
          <w:rFonts w:eastAsia="Arial" w:cs="Arial"/>
          <w:b w:val="false"/>
          <w:bCs w:val="false"/>
          <w:i w:val="false"/>
          <w:iCs w:val="false"/>
          <w:color w:val="222222"/>
          <w:sz w:val="20"/>
          <w:szCs w:val="20"/>
        </w:rPr>
        <w:t>Nos principes d'action : privilégier la prévention à la source et l'élimination du danger avant la protection individuelle ; garantir à chacun le droit de se retirer d'une situation de danger grave et imminent, sans conséquence indue ; encourager le signalement des situations dangereuses et des presqu'accidents, sans crainte de représailles.</w:t>
      </w:r>
    </w:p>
    <w:p>
      <w:pPr>
        <w:pStyle w:val="Normal"/>
        <w:rPr/>
      </w:pPr>
      <w:r>
        <w:rPr/>
      </w:r>
    </w:p>
    <w:p>
      <w:pPr>
        <w:pStyle w:val="Normal"/>
        <w:rPr/>
      </w:pPr>
      <w:r>
        <w:rPr>
          <w:sz w:val="22"/>
        </w:rPr>
        <w:t>La mise en œuvre de nos engagements repose sur les principes d'action suivants, qui constituent le référentiel de comportement pour tous les niveaux de l'organisation :</w:t>
      </w:r>
    </w:p>
    <w:p>
      <w:pPr>
        <w:pStyle w:val="Normal"/>
        <w:rPr/>
      </w:pPr>
      <w:r>
        <w:rPr/>
      </w:r>
    </w:p>
    <w:p>
      <w:pPr>
        <w:pStyle w:val="Heading2"/>
        <w:rPr/>
      </w:pPr>
      <w:r>
        <w:rPr>
          <w:rFonts w:ascii="Arial" w:hAnsi="Arial"/>
          <w:b/>
          <w:color w:val="1F4E79"/>
          <w:sz w:val="24"/>
        </w:rPr>
        <w:t>3.1  La sécurité, une valeur non négociable</w:t>
      </w:r>
    </w:p>
    <w:p>
      <w:pPr>
        <w:pStyle w:val="Normal"/>
        <w:rPr/>
      </w:pPr>
      <w:r>
        <w:rPr>
          <w:sz w:val="22"/>
        </w:rPr>
        <w:t>La santé et la sécurité au travail ne se négocient pas. Aucun impératif de production, de coût ou de délai ne justifie de compromettre la sécurité d'un travailleur. Tout travailleur a le droit et le devoir d'exercer son droit d'arrêt / droit de retrait face à une situation qu'il estime dangereuse, sans crainte de sanction.</w:t>
      </w:r>
    </w:p>
    <w:p>
      <w:pPr>
        <w:pStyle w:val="Normal"/>
        <w:rPr/>
      </w:pPr>
      <w:r>
        <w:rPr/>
      </w:r>
    </w:p>
    <w:p>
      <w:pPr>
        <w:pStyle w:val="Heading2"/>
        <w:rPr/>
      </w:pPr>
      <w:r>
        <w:rPr>
          <w:rFonts w:ascii="Arial" w:hAnsi="Arial"/>
          <w:b/>
          <w:color w:val="1F4E79"/>
          <w:sz w:val="24"/>
        </w:rPr>
        <w:t>3.2  L'exemplarité de la ligne managériale</w:t>
      </w:r>
    </w:p>
    <w:p>
      <w:pPr>
        <w:pStyle w:val="Normal"/>
        <w:rPr/>
      </w:pPr>
      <w:r>
        <w:rPr>
          <w:sz w:val="22"/>
        </w:rPr>
        <w:t>Le respect des règles SST commence par l'exemplarité des dirigeants et de l'encadrement. Chaque manager est responsable de la sécurité de son équipe et de la conformité aux règles dans son périmètre. Cet engagement se traduit par des tournées SST régulières, l'animation de causeries sécurité, et l'inclusion d'objectifs SST dans son évaluation.</w:t>
      </w:r>
    </w:p>
    <w:p>
      <w:pPr>
        <w:pStyle w:val="Normal"/>
        <w:rPr/>
      </w:pPr>
      <w:r>
        <w:rPr/>
      </w:r>
    </w:p>
    <w:p>
      <w:pPr>
        <w:pStyle w:val="Heading2"/>
        <w:rPr/>
      </w:pPr>
      <w:r>
        <w:rPr>
          <w:rFonts w:ascii="Arial" w:hAnsi="Arial"/>
          <w:b/>
          <w:color w:val="1F4E79"/>
          <w:sz w:val="24"/>
        </w:rPr>
        <w:t>3.3  La vigilance partagée et le devoir d'alerte</w:t>
      </w:r>
    </w:p>
    <w:p>
      <w:pPr>
        <w:pStyle w:val="Normal"/>
        <w:rPr/>
      </w:pPr>
      <w:r>
        <w:rPr>
          <w:sz w:val="22"/>
        </w:rPr>
        <w:t>Chaque travailleur est un acteur de la sécurité collective. Il a le devoir de signaler tout danger, situation dangereuse, presqu'accident ou dysfonctionnement à sa hiérarchie. Ces signalements sont accueillis positivement, analysés et donnent lieu à un retour formalisé à leur auteur. La culture juste prévaut : aucune sanction n'est prise contre un travailleur ayant signalé de bonne foi.</w:t>
      </w:r>
    </w:p>
    <w:p>
      <w:pPr>
        <w:pStyle w:val="Normal"/>
        <w:rPr/>
      </w:pPr>
      <w:r>
        <w:rPr/>
      </w:r>
    </w:p>
    <w:p>
      <w:pPr>
        <w:pStyle w:val="Heading2"/>
        <w:rPr/>
      </w:pPr>
      <w:r>
        <w:rPr>
          <w:rFonts w:ascii="Arial" w:hAnsi="Arial"/>
          <w:b/>
          <w:color w:val="1F4E79"/>
          <w:sz w:val="24"/>
        </w:rPr>
        <w:t>3.4  L'approche par les risques et l'analyse de terrain</w:t>
      </w:r>
    </w:p>
    <w:p>
      <w:pPr>
        <w:pStyle w:val="Normal"/>
        <w:rPr/>
      </w:pPr>
      <w:r>
        <w:rPr>
          <w:sz w:val="22"/>
        </w:rPr>
        <w:t>Toute décision ayant un impact SST est précédée d'une analyse de risques. L'identification des dangers et l'évaluation des risques (IPER) est conduite AVEC les travailleurs concernés, sur le terrain, en tenant compte des conditions réelles d'exécution. Elle intègre les facteurs humains et organisationnels (§6.1.2.1 b) en plus des facteurs techniques.</w:t>
      </w:r>
    </w:p>
    <w:p>
      <w:pPr>
        <w:pStyle w:val="Normal"/>
        <w:rPr/>
      </w:pPr>
      <w:r>
        <w:rPr/>
      </w:r>
    </w:p>
    <w:p>
      <w:pPr>
        <w:pStyle w:val="Heading2"/>
        <w:rPr/>
      </w:pPr>
      <w:r>
        <w:rPr>
          <w:rFonts w:ascii="Arial" w:hAnsi="Arial"/>
          <w:b/>
          <w:color w:val="1F4E79"/>
          <w:sz w:val="24"/>
        </w:rPr>
        <w:t>3.5  L'exigence sur les partenaires et sous-traitants</w:t>
      </w:r>
    </w:p>
    <w:p>
      <w:pPr>
        <w:pStyle w:val="Normal"/>
        <w:rPr/>
      </w:pPr>
      <w:r>
        <w:rPr>
          <w:sz w:val="22"/>
        </w:rPr>
        <w:t>Nos exigences SST s'appliquent également à nos sous-traitants et prestataires. Ceux-ci sont sélectionnés sur des critères SST, accueillis formellement avant intervention, encadrés par des plans de prévention et suivis pendant leur activité. Tout incident sous-traitant est traité avec la même rigueur qu'un incident interne.</w:t>
      </w:r>
    </w:p>
    <w:p>
      <w:pPr>
        <w:pStyle w:val="Normal"/>
        <w:rPr/>
      </w:pPr>
      <w:r>
        <w:rPr/>
      </w:r>
    </w:p>
    <w:p>
      <w:pPr>
        <w:pStyle w:val="Heading2"/>
        <w:rPr/>
      </w:pPr>
      <w:r>
        <w:rPr>
          <w:rFonts w:ascii="Arial" w:hAnsi="Arial"/>
          <w:b/>
          <w:color w:val="1F4E79"/>
          <w:sz w:val="24"/>
        </w:rPr>
        <w:t>3.6  Le développement continu des compétences</w:t>
      </w:r>
    </w:p>
    <w:p>
      <w:pPr>
        <w:pStyle w:val="Normal"/>
        <w:rPr/>
      </w:pPr>
      <w:r>
        <w:rPr>
          <w:sz w:val="22"/>
        </w:rPr>
        <w:t>La compétence SST est un investissement stratégique. Chaque travailleur reçoit la formation adaptée aux risques de son poste. Les habilitations réglementaires sont maintenues à jour. Les managers sont formés au leadership SST. La sensibilisation régulière ancre la culture SST dans le quotidien.</w:t>
      </w:r>
    </w:p>
    <w:p>
      <w:pPr>
        <w:pStyle w:val="Heading1"/>
        <w:pBdr>
          <w:bottom w:val="single" w:sz="12" w:space="4" w:color="4F9B3E"/>
        </w:pBdr>
        <w:spacing w:before="260" w:after="140"/>
        <w:rPr/>
      </w:pPr>
      <w:r>
        <w:rPr>
          <w:rFonts w:eastAsia="Arial" w:cs="Arial" w:ascii="Arial" w:hAnsi="Arial"/>
          <w:b/>
          <w:bCs/>
          <w:color w:val="1F4E79"/>
          <w:sz w:val="28"/>
          <w:szCs w:val="28"/>
        </w:rPr>
        <w:t>4. Déclinaison en objectifs</w:t>
      </w:r>
    </w:p>
    <w:p>
      <w:pPr>
        <w:pStyle w:val="Normal"/>
        <w:spacing w:lineRule="exact" w:line="276" w:before="0" w:after="120"/>
        <w:jc w:val="both"/>
        <w:rPr/>
      </w:pPr>
      <w:r>
        <w:rPr>
          <w:rFonts w:eastAsia="Arial" w:cs="Arial"/>
          <w:b w:val="false"/>
          <w:bCs w:val="false"/>
          <w:i w:val="false"/>
          <w:iCs w:val="false"/>
          <w:color w:val="222222"/>
          <w:sz w:val="20"/>
          <w:szCs w:val="20"/>
        </w:rPr>
        <w:t>La présente politique se décline en objectifs SST mesurables, cohérents avec elle, définis aux fonctions et niveaux pertinents et assortis de plans d'actions (procédure PR-SST-003, §6.2). Leur atteinte est suivie via le tableau de bord SST (§9.1).</w:t>
      </w:r>
    </w:p>
    <w:p>
      <w:pPr>
        <w:pStyle w:val="Normal"/>
        <w:rPr/>
      </w:pPr>
      <w:r>
        <w:rPr/>
      </w:r>
    </w:p>
    <w:p>
      <w:pPr>
        <w:pStyle w:val="Normal"/>
        <w:rPr/>
      </w:pPr>
      <w:r>
        <w:rPr>
          <w:sz w:val="22"/>
        </w:rPr>
        <w:t>La présente politique se décline en objectifs SST mesurables (§6.2), à horizons court, moyen et long terme, révisés annuellement en revue de direction.</w:t>
      </w:r>
    </w:p>
    <w:p>
      <w:pPr>
        <w:pStyle w:val="Normal"/>
        <w:rPr/>
      </w:pPr>
      <w:r>
        <w:rPr/>
      </w:r>
    </w:p>
    <w:p>
      <w:pPr>
        <w:pStyle w:val="Heading2"/>
        <w:rPr/>
      </w:pPr>
      <w:r>
        <w:rPr>
          <w:rFonts w:ascii="Arial" w:hAnsi="Arial"/>
          <w:b/>
          <w:color w:val="1F4E79"/>
          <w:sz w:val="24"/>
        </w:rPr>
        <w:t>4.1  Objectifs stratégiques permanents</w:t>
      </w:r>
    </w:p>
    <w:p>
      <w:pPr>
        <w:pStyle w:val="Normal"/>
        <w:ind w:left="454"/>
        <w:rPr/>
      </w:pPr>
      <w:r>
        <w:rPr>
          <w:sz w:val="22"/>
        </w:rPr>
        <w:t xml:space="preserve">•  </w:t>
      </w:r>
      <w:r>
        <w:rPr>
          <w:sz w:val="22"/>
        </w:rPr>
        <w:t>Zéro accident mortel — engagement absolu et non négociable.</w:t>
      </w:r>
    </w:p>
    <w:p>
      <w:pPr>
        <w:pStyle w:val="Normal"/>
        <w:ind w:left="454"/>
        <w:rPr/>
      </w:pPr>
      <w:r>
        <w:rPr>
          <w:sz w:val="22"/>
        </w:rPr>
        <w:t xml:space="preserve">•  </w:t>
      </w:r>
      <w:r>
        <w:rPr>
          <w:sz w:val="22"/>
        </w:rPr>
        <w:t>Réduction annuelle du Taux de Fréquence (TF) d'au moins 10%.</w:t>
      </w:r>
    </w:p>
    <w:p>
      <w:pPr>
        <w:pStyle w:val="Normal"/>
        <w:ind w:left="454"/>
        <w:rPr/>
      </w:pPr>
      <w:r>
        <w:rPr>
          <w:sz w:val="22"/>
        </w:rPr>
        <w:t xml:space="preserve">•  </w:t>
      </w:r>
      <w:r>
        <w:rPr>
          <w:sz w:val="22"/>
        </w:rPr>
        <w:t>Zéro maladie professionnelle déclarée liée à un défaut de prévention.</w:t>
      </w:r>
    </w:p>
    <w:p>
      <w:pPr>
        <w:pStyle w:val="Normal"/>
        <w:ind w:left="454"/>
        <w:rPr/>
      </w:pPr>
      <w:r>
        <w:rPr>
          <w:sz w:val="22"/>
        </w:rPr>
        <w:t xml:space="preserve">•  </w:t>
      </w:r>
      <w:r>
        <w:rPr>
          <w:sz w:val="22"/>
        </w:rPr>
        <w:t>100% de conformité aux exigences légales applicables.</w:t>
      </w:r>
    </w:p>
    <w:p>
      <w:pPr>
        <w:pStyle w:val="Normal"/>
        <w:rPr/>
      </w:pPr>
      <w:r>
        <w:rPr/>
      </w:r>
    </w:p>
    <w:p>
      <w:pPr>
        <w:pStyle w:val="Heading2"/>
        <w:rPr/>
      </w:pPr>
      <w:r>
        <w:rPr>
          <w:rFonts w:ascii="Arial" w:hAnsi="Arial"/>
          <w:b/>
          <w:color w:val="1F4E79"/>
          <w:sz w:val="24"/>
        </w:rPr>
        <w:t>4.2  Objectifs opérationnels annuels</w:t>
      </w:r>
    </w:p>
    <w:p>
      <w:pPr>
        <w:pStyle w:val="Normal"/>
        <w:rPr/>
      </w:pPr>
      <w:r>
        <w:rPr>
          <w:sz w:val="22"/>
        </w:rPr>
        <w:t>Chaque année, la direction fixe des objectifs opérationnels chiffrés selon la méthode SMART, en cohérence avec :</w:t>
      </w:r>
    </w:p>
    <w:p>
      <w:pPr>
        <w:pStyle w:val="Normal"/>
        <w:ind w:left="454"/>
        <w:rPr/>
      </w:pPr>
      <w:r>
        <w:rPr>
          <w:sz w:val="22"/>
        </w:rPr>
        <w:t xml:space="preserve">•  </w:t>
      </w:r>
      <w:r>
        <w:rPr>
          <w:sz w:val="22"/>
        </w:rPr>
        <w:t>Les résultats de l'année écoulée (revue de direction).</w:t>
      </w:r>
    </w:p>
    <w:p>
      <w:pPr>
        <w:pStyle w:val="Normal"/>
        <w:ind w:left="454"/>
        <w:rPr/>
      </w:pPr>
      <w:r>
        <w:rPr>
          <w:sz w:val="22"/>
        </w:rPr>
        <w:t xml:space="preserve">•  </w:t>
      </w:r>
      <w:r>
        <w:rPr>
          <w:sz w:val="22"/>
        </w:rPr>
        <w:t>Les risques SST significatifs identifiés (IPER).</w:t>
      </w:r>
    </w:p>
    <w:p>
      <w:pPr>
        <w:pStyle w:val="Normal"/>
        <w:ind w:left="454"/>
        <w:rPr/>
      </w:pPr>
      <w:r>
        <w:rPr>
          <w:sz w:val="22"/>
        </w:rPr>
        <w:t xml:space="preserve">•  </w:t>
      </w:r>
      <w:r>
        <w:rPr>
          <w:sz w:val="22"/>
        </w:rPr>
        <w:t>Les enjeux du contexte (§4.1) et les attentes des parties intéressées (§4.2).</w:t>
      </w:r>
    </w:p>
    <w:p>
      <w:pPr>
        <w:pStyle w:val="Normal"/>
        <w:ind w:left="454"/>
        <w:rPr/>
      </w:pPr>
      <w:r>
        <w:rPr>
          <w:sz w:val="22"/>
        </w:rPr>
        <w:t xml:space="preserve">•  </w:t>
      </w:r>
      <w:r>
        <w:rPr>
          <w:sz w:val="22"/>
        </w:rPr>
        <w:t>Les évolutions réglementaires et normatives.</w:t>
      </w:r>
    </w:p>
    <w:p>
      <w:pPr>
        <w:pStyle w:val="Normal"/>
        <w:rPr/>
      </w:pPr>
      <w:r>
        <w:rPr/>
      </w:r>
    </w:p>
    <w:p>
      <w:pPr>
        <w:pStyle w:val="Normal"/>
        <w:rPr/>
      </w:pPr>
      <w:r>
        <w:rPr>
          <w:sz w:val="22"/>
        </w:rPr>
        <w:t>Les travailleurs et leurs représentants sont consultés (§5.4 b) sur la fixation des objectifs SST.</w:t>
      </w:r>
    </w:p>
    <w:p>
      <w:pPr>
        <w:pStyle w:val="Normal"/>
        <w:rPr/>
      </w:pPr>
      <w:r>
        <w:rPr/>
      </w:r>
    </w:p>
    <w:p>
      <w:pPr>
        <w:pStyle w:val="Heading2"/>
        <w:rPr/>
      </w:pPr>
      <w:r>
        <w:rPr>
          <w:rFonts w:ascii="Arial" w:hAnsi="Arial"/>
          <w:b/>
          <w:color w:val="1F4E79"/>
          <w:sz w:val="24"/>
        </w:rPr>
        <w:t>4.3  Déploiement en cascade</w:t>
      </w:r>
    </w:p>
    <w:p>
      <w:pPr>
        <w:pStyle w:val="Normal"/>
        <w:rPr/>
      </w:pPr>
      <w:r>
        <w:rPr>
          <w:sz w:val="22"/>
        </w:rPr>
        <w:t>Les objectifs stratégiques sont déclinés au niveau de chaque site, service et processus (voir Cartographie CAR-SST-001), avec des indicateurs de résultat (lagging) et de moyen (leading) équilibrés. Chaque pilote de processus est responsable de la contribution de son périmètre à l'atteinte des objectifs globaux.</w:t>
      </w:r>
    </w:p>
    <w:p>
      <w:pPr>
        <w:pStyle w:val="Heading1"/>
        <w:pBdr>
          <w:bottom w:val="single" w:sz="12" w:space="4" w:color="4F9B3E"/>
        </w:pBdr>
        <w:spacing w:before="260" w:after="140"/>
        <w:rPr/>
      </w:pPr>
      <w:r>
        <w:rPr>
          <w:rFonts w:eastAsia="Arial" w:cs="Arial" w:ascii="Arial" w:hAnsi="Arial"/>
          <w:b/>
          <w:bCs/>
          <w:color w:val="1F4E79"/>
          <w:sz w:val="28"/>
          <w:szCs w:val="28"/>
        </w:rPr>
        <w:t>5. Communication, disponibilité et revue</w:t>
      </w:r>
    </w:p>
    <w:p>
      <w:pPr>
        <w:pStyle w:val="ListParagraph"/>
        <w:numPr>
          <w:ilvl w:val="0"/>
          <w:numId w:val="28"/>
        </w:numPr>
        <w:spacing w:lineRule="exact" w:line="264" w:before="0" w:after="60"/>
        <w:rPr/>
      </w:pPr>
      <w:r>
        <w:rPr>
          <w:rFonts w:eastAsia="Arial" w:cs="Arial"/>
          <w:b w:val="false"/>
          <w:bCs w:val="false"/>
          <w:i w:val="false"/>
          <w:iCs w:val="false"/>
          <w:color w:val="222222"/>
          <w:sz w:val="20"/>
          <w:szCs w:val="20"/>
        </w:rPr>
        <w:t>La politique est diffusée et communiquée à l'ensemble des travailleurs ;</w:t>
      </w:r>
    </w:p>
    <w:p>
      <w:pPr>
        <w:pStyle w:val="ListParagraph"/>
        <w:numPr>
          <w:ilvl w:val="0"/>
          <w:numId w:val="29"/>
        </w:numPr>
        <w:spacing w:lineRule="exact" w:line="264" w:before="0" w:after="60"/>
        <w:rPr/>
      </w:pPr>
      <w:r>
        <w:rPr>
          <w:rFonts w:eastAsia="Arial" w:cs="Arial"/>
          <w:b w:val="false"/>
          <w:bCs w:val="false"/>
          <w:i w:val="false"/>
          <w:iCs w:val="false"/>
          <w:color w:val="222222"/>
          <w:sz w:val="20"/>
          <w:szCs w:val="20"/>
        </w:rPr>
        <w:t>elle est tenue à disposition des parties intéressées pertinentes ;</w:t>
      </w:r>
    </w:p>
    <w:p>
      <w:pPr>
        <w:pStyle w:val="ListParagraph"/>
        <w:numPr>
          <w:ilvl w:val="0"/>
          <w:numId w:val="30"/>
        </w:numPr>
        <w:spacing w:lineRule="exact" w:line="264" w:before="0" w:after="60"/>
        <w:rPr/>
      </w:pPr>
      <w:r>
        <w:rPr>
          <w:rFonts w:eastAsia="Arial" w:cs="Arial"/>
          <w:b w:val="false"/>
          <w:bCs w:val="false"/>
          <w:i w:val="false"/>
          <w:iCs w:val="false"/>
          <w:color w:val="222222"/>
          <w:sz w:val="20"/>
          <w:szCs w:val="20"/>
        </w:rPr>
        <w:t>elle est disponible sous forme d'information documentée ;</w:t>
      </w:r>
    </w:p>
    <w:p>
      <w:pPr>
        <w:pStyle w:val="ListParagraph"/>
        <w:numPr>
          <w:ilvl w:val="0"/>
          <w:numId w:val="31"/>
        </w:numPr>
        <w:spacing w:lineRule="exact" w:line="264" w:before="0" w:after="60"/>
        <w:rPr/>
      </w:pPr>
      <w:r>
        <w:rPr>
          <w:rFonts w:eastAsia="Arial" w:cs="Arial"/>
          <w:b w:val="false"/>
          <w:bCs w:val="false"/>
          <w:i w:val="false"/>
          <w:iCs w:val="false"/>
          <w:color w:val="222222"/>
          <w:sz w:val="20"/>
          <w:szCs w:val="20"/>
        </w:rPr>
        <w:t>elle est revue à intervalles planifiés, notamment lors de la revue de direction (§9.3), pour rester pertinente et appropriée.</w:t>
      </w:r>
    </w:p>
    <w:p>
      <w:pPr>
        <w:pStyle w:val="Normal"/>
        <w:rPr/>
      </w:pPr>
      <w:r>
        <w:rPr/>
      </w:r>
    </w:p>
    <w:p>
      <w:pPr>
        <w:pStyle w:val="Heading2"/>
        <w:rPr/>
      </w:pPr>
      <w:r>
        <w:rPr>
          <w:rFonts w:ascii="Arial" w:hAnsi="Arial"/>
          <w:b/>
          <w:color w:val="1F4E79"/>
          <w:sz w:val="24"/>
        </w:rPr>
        <w:t>5.1  Disponibilité de la politique</w:t>
      </w:r>
    </w:p>
    <w:p>
      <w:pPr>
        <w:pStyle w:val="Normal"/>
        <w:rPr/>
      </w:pPr>
      <w:r>
        <w:rPr>
          <w:sz w:val="22"/>
        </w:rPr>
        <w:t>La présente politique est tenue à disposition en tant qu'information documentée (§7.5) sous forme :</w:t>
      </w:r>
    </w:p>
    <w:p>
      <w:pPr>
        <w:pStyle w:val="Normal"/>
        <w:ind w:left="454"/>
        <w:rPr/>
      </w:pPr>
      <w:r>
        <w:rPr>
          <w:sz w:val="22"/>
        </w:rPr>
        <w:t xml:space="preserve">•  </w:t>
      </w:r>
      <w:r>
        <w:rPr>
          <w:sz w:val="22"/>
        </w:rPr>
        <w:t>Affichée aux endroits de passage des travailleurs (accueil, salles de pause, ateliers).</w:t>
      </w:r>
    </w:p>
    <w:p>
      <w:pPr>
        <w:pStyle w:val="Normal"/>
        <w:ind w:left="454"/>
        <w:rPr/>
      </w:pPr>
      <w:r>
        <w:rPr>
          <w:sz w:val="22"/>
        </w:rPr>
        <w:t xml:space="preserve">•  </w:t>
      </w:r>
      <w:r>
        <w:rPr>
          <w:sz w:val="22"/>
        </w:rPr>
        <w:t>Disponible sur l'intranet et le système documentaire du SMSST.</w:t>
      </w:r>
    </w:p>
    <w:p>
      <w:pPr>
        <w:pStyle w:val="Normal"/>
        <w:ind w:left="454"/>
        <w:rPr/>
      </w:pPr>
      <w:r>
        <w:rPr>
          <w:sz w:val="22"/>
        </w:rPr>
        <w:t xml:space="preserve">•  </w:t>
      </w:r>
      <w:r>
        <w:rPr>
          <w:sz w:val="22"/>
        </w:rPr>
        <w:t>Communiquée aux nouveaux arrivants lors de leur accueil SST.</w:t>
      </w:r>
    </w:p>
    <w:p>
      <w:pPr>
        <w:pStyle w:val="Normal"/>
        <w:ind w:left="454"/>
        <w:rPr/>
      </w:pPr>
      <w:r>
        <w:rPr>
          <w:sz w:val="22"/>
        </w:rPr>
        <w:t xml:space="preserve">•  </w:t>
      </w:r>
      <w:r>
        <w:rPr>
          <w:sz w:val="22"/>
        </w:rPr>
        <w:t>Traduite dans les langues maîtrisées par les travailleurs si nécessaire (§7.4.1).</w:t>
      </w:r>
    </w:p>
    <w:p>
      <w:pPr>
        <w:pStyle w:val="Normal"/>
        <w:rPr/>
      </w:pPr>
      <w:r>
        <w:rPr/>
      </w:r>
    </w:p>
    <w:p>
      <w:pPr>
        <w:pStyle w:val="Heading2"/>
        <w:rPr/>
      </w:pPr>
      <w:r>
        <w:rPr>
          <w:rFonts w:ascii="Arial" w:hAnsi="Arial"/>
          <w:b/>
          <w:color w:val="1F4E79"/>
          <w:sz w:val="24"/>
        </w:rPr>
        <w:t>5.2  Communication interne et externe</w:t>
      </w:r>
    </w:p>
    <w:p>
      <w:pPr>
        <w:pStyle w:val="Normal"/>
        <w:rPr/>
      </w:pPr>
      <w:r>
        <w:rPr>
          <w:sz w:val="22"/>
        </w:rPr>
        <w:t>La politique fait l'objet d'une communication proactive :</w:t>
      </w:r>
    </w:p>
    <w:p>
      <w:pPr>
        <w:pStyle w:val="Normal"/>
        <w:ind w:left="454"/>
        <w:rPr/>
      </w:pPr>
      <w:r>
        <w:rPr>
          <w:sz w:val="22"/>
        </w:rPr>
        <w:t xml:space="preserve">•  </w:t>
      </w:r>
      <w:r>
        <w:rPr>
          <w:sz w:val="22"/>
        </w:rPr>
        <w:t>En interne : présentée lors des campagnes de sensibilisation, des accueils, des réunions SST, et rappelée régulièrement à l'occasion des événements sécurité (semaine SST, journée mondiale).</w:t>
      </w:r>
    </w:p>
    <w:p>
      <w:pPr>
        <w:pStyle w:val="Normal"/>
        <w:ind w:left="454"/>
        <w:rPr/>
      </w:pPr>
      <w:r>
        <w:rPr>
          <w:sz w:val="22"/>
        </w:rPr>
        <w:t xml:space="preserve">•  </w:t>
      </w:r>
      <w:r>
        <w:rPr>
          <w:sz w:val="22"/>
        </w:rPr>
        <w:t>En externe : partagée avec les parties intéressées pertinentes (clients, sous-traitants, autorités, riverains) selon les besoins de coopération et de transparence.</w:t>
      </w:r>
    </w:p>
    <w:p>
      <w:pPr>
        <w:pStyle w:val="Normal"/>
        <w:rPr/>
      </w:pPr>
      <w:r>
        <w:rPr/>
      </w:r>
    </w:p>
    <w:p>
      <w:pPr>
        <w:pStyle w:val="Heading2"/>
        <w:rPr/>
      </w:pPr>
      <w:r>
        <w:rPr>
          <w:rFonts w:ascii="Arial" w:hAnsi="Arial"/>
          <w:b/>
          <w:color w:val="1F4E79"/>
          <w:sz w:val="24"/>
        </w:rPr>
        <w:t>5.3  Revue et actualisation</w:t>
      </w:r>
    </w:p>
    <w:p>
      <w:pPr>
        <w:pStyle w:val="Normal"/>
        <w:rPr/>
      </w:pPr>
      <w:r>
        <w:rPr>
          <w:sz w:val="22"/>
        </w:rPr>
        <w:t>La politique est revue au moins annuellement à l'occasion de la revue de direction (§9.3), et à chaque changement significatif du contexte (nouvelle activité, restructuration, évolution réglementaire majeure). La révision est engagée en consultation avec les travailleurs et leurs représentants (§5.4 b).</w:t>
      </w:r>
    </w:p>
    <w:p>
      <w:pPr>
        <w:pStyle w:val="Heading1"/>
        <w:pBdr>
          <w:bottom w:val="single" w:sz="12" w:space="4" w:color="4F9B3E"/>
        </w:pBdr>
        <w:spacing w:before="260" w:after="140"/>
        <w:rPr/>
      </w:pPr>
      <w:r>
        <w:rPr>
          <w:rFonts w:eastAsia="Arial" w:cs="Arial" w:ascii="Arial" w:hAnsi="Arial"/>
          <w:b/>
          <w:bCs/>
          <w:color w:val="1F4E79"/>
          <w:sz w:val="28"/>
          <w:szCs w:val="28"/>
        </w:rPr>
        <w:t>6. Approbation</w:t>
      </w:r>
    </w:p>
    <w:p>
      <w:pPr>
        <w:pStyle w:val="Normal"/>
        <w:spacing w:lineRule="exact" w:line="276" w:before="0" w:after="120"/>
        <w:jc w:val="both"/>
        <w:rPr/>
      </w:pPr>
      <w:r>
        <w:rPr>
          <w:rFonts w:eastAsia="Arial" w:cs="Arial"/>
          <w:b w:val="false"/>
          <w:bCs w:val="false"/>
          <w:i w:val="false"/>
          <w:iCs w:val="false"/>
          <w:color w:val="222222"/>
          <w:sz w:val="20"/>
          <w:szCs w:val="20"/>
        </w:rPr>
        <w:t>Cette politique engage la direction et l'ensemble du personnel.</w:t>
      </w:r>
    </w:p>
    <w:p>
      <w:pPr>
        <w:pStyle w:val="Normal"/>
        <w:spacing w:before="200" w:after="20"/>
        <w:rPr/>
      </w:pPr>
      <w:r>
        <w:rPr>
          <w:rFonts w:eastAsia="Arial" w:cs="Arial"/>
          <w:b w:val="false"/>
          <w:bCs w:val="false"/>
          <w:i w:val="false"/>
          <w:iCs w:val="false"/>
          <w:color w:val="222222"/>
          <w:sz w:val="20"/>
          <w:szCs w:val="20"/>
        </w:rPr>
        <w:t xml:space="preserve">Fait à </w:t>
      </w:r>
      <w:r>
        <w:rPr>
          <w:rFonts w:eastAsia="Arial" w:cs="Arial"/>
          <w:b/>
          <w:bCs/>
          <w:i w:val="false"/>
          <w:iCs w:val="false"/>
          <w:color w:val="F5A623"/>
          <w:sz w:val="20"/>
          <w:szCs w:val="20"/>
        </w:rPr>
        <w:t>[À COMPLÉTER : lieu]</w:t>
      </w:r>
      <w:r>
        <w:rPr>
          <w:rFonts w:eastAsia="Arial" w:cs="Arial"/>
          <w:b w:val="false"/>
          <w:bCs w:val="false"/>
          <w:i w:val="false"/>
          <w:iCs w:val="false"/>
          <w:color w:val="222222"/>
          <w:sz w:val="20"/>
          <w:szCs w:val="20"/>
        </w:rPr>
        <w:t xml:space="preserve">, le </w:t>
      </w:r>
      <w:r>
        <w:rPr>
          <w:rFonts w:eastAsia="Arial" w:cs="Arial"/>
          <w:b/>
          <w:bCs/>
          <w:i w:val="false"/>
          <w:iCs w:val="false"/>
          <w:color w:val="F5A623"/>
          <w:sz w:val="20"/>
          <w:szCs w:val="20"/>
        </w:rPr>
        <w:t>[À COMPLÉTER : date]</w:t>
      </w:r>
      <w:r>
        <w:rPr>
          <w:rFonts w:eastAsia="Arial" w:cs="Arial"/>
          <w:b w:val="false"/>
          <w:bCs w:val="false"/>
          <w:i w:val="false"/>
          <w:iCs w:val="false"/>
          <w:color w:val="222222"/>
          <w:sz w:val="20"/>
          <w:szCs w:val="20"/>
        </w:rPr>
        <w:t>.</w:t>
      </w:r>
    </w:p>
    <w:tbl>
      <w:tblPr>
        <w:tblW w:w="9026" w:type="dxa"/>
        <w:jc w:val="left"/>
        <w:tblInd w:w="0" w:type="dxa"/>
        <w:tblLayout w:type="fixed"/>
        <w:tblCellMar>
          <w:top w:w="60" w:type="dxa"/>
          <w:left w:w="100" w:type="dxa"/>
          <w:bottom w:w="60" w:type="dxa"/>
          <w:right w:w="100" w:type="dxa"/>
        </w:tblCellMar>
      </w:tblPr>
      <w:tblGrid>
        <w:gridCol w:w="3000"/>
        <w:gridCol w:w="6025"/>
      </w:tblGrid>
      <w:tr>
        <w:trPr>
          <w:tblHeader w:val="true"/>
        </w:trPr>
        <w:tc>
          <w:tcPr>
            <w:tcW w:w="3000" w:type="dxa"/>
            <w:tcBorders>
              <w:top w:val="single" w:sz="2" w:space="0" w:color="BFBFBF"/>
              <w:left w:val="single" w:sz="2" w:space="0" w:color="BFBFBF"/>
              <w:bottom w:val="single" w:sz="2" w:space="0" w:color="D9D9D9"/>
              <w:right w:val="single" w:sz="2" w:space="0" w:color="D9D9D9"/>
            </w:tcBorders>
            <w:shd w:fill="1F4E79" w:val="clear"/>
            <w:vAlign w:val="center"/>
          </w:tcPr>
          <w:p>
            <w:pPr>
              <w:pStyle w:val="Normal"/>
              <w:spacing w:lineRule="exact" w:line="252" w:before="0" w:after="0"/>
              <w:jc w:val="left"/>
              <w:rPr/>
            </w:pPr>
            <w:r>
              <w:rPr/>
            </w:r>
          </w:p>
        </w:tc>
        <w:tc>
          <w:tcPr>
            <w:tcW w:w="6025" w:type="dxa"/>
            <w:tcBorders>
              <w:top w:val="single" w:sz="2" w:space="0" w:color="BFBFBF"/>
              <w:left w:val="single" w:sz="2" w:space="0" w:color="D9D9D9"/>
              <w:bottom w:val="single" w:sz="2" w:space="0" w:color="D9D9D9"/>
              <w:right w:val="single" w:sz="2" w:space="0" w:color="BFBFBF"/>
            </w:tcBorders>
            <w:shd w:fill="1F4E79" w:val="clear"/>
            <w:vAlign w:val="center"/>
          </w:tcPr>
          <w:p>
            <w:pPr>
              <w:pStyle w:val="Normal"/>
              <w:spacing w:lineRule="exact" w:line="252" w:before="0" w:after="0"/>
              <w:jc w:val="left"/>
              <w:rPr/>
            </w:pPr>
            <w:r>
              <w:rPr>
                <w:rFonts w:eastAsia="Arial" w:cs="Arial"/>
                <w:b/>
                <w:bCs/>
                <w:color w:val="FFFFFF"/>
                <w:sz w:val="19"/>
                <w:szCs w:val="19"/>
              </w:rPr>
              <w:t>La Direction</w:t>
            </w:r>
          </w:p>
        </w:tc>
      </w:tr>
      <w:tr>
        <w:trPr/>
        <w:tc>
          <w:tcPr>
            <w:tcW w:w="3000" w:type="dxa"/>
            <w:tcBorders>
              <w:top w:val="single" w:sz="2" w:space="0" w:color="D9D9D9"/>
              <w:left w:val="single" w:sz="2" w:space="0" w:color="BFBFBF"/>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Nom et fonction</w:t>
            </w:r>
          </w:p>
        </w:tc>
        <w:tc>
          <w:tcPr>
            <w:tcW w:w="6025" w:type="dxa"/>
            <w:tcBorders>
              <w:top w:val="single" w:sz="2" w:space="0" w:color="D9D9D9"/>
              <w:left w:val="single" w:sz="2" w:space="0" w:color="D9D9D9"/>
              <w:bottom w:val="single" w:sz="2" w:space="0" w:color="D9D9D9"/>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[À COMPLÉTER : nom du dirigeant] — Direction générale</w:t>
            </w:r>
          </w:p>
        </w:tc>
      </w:tr>
      <w:tr>
        <w:trPr/>
        <w:tc>
          <w:tcPr>
            <w:tcW w:w="3000" w:type="dxa"/>
            <w:tcBorders>
              <w:top w:val="single" w:sz="2" w:space="0" w:color="D9D9D9"/>
              <w:left w:val="single" w:sz="2" w:space="0" w:color="BFBFBF"/>
              <w:bottom w:val="single" w:sz="2" w:space="0" w:color="BFBFBF"/>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Signature</w:t>
            </w:r>
          </w:p>
        </w:tc>
        <w:tc>
          <w:tcPr>
            <w:tcW w:w="6025" w:type="dxa"/>
            <w:tcBorders>
              <w:top w:val="single" w:sz="2" w:space="0" w:color="D9D9D9"/>
              <w:left w:val="single" w:sz="2" w:space="0" w:color="D9D9D9"/>
              <w:bottom w:val="single" w:sz="2" w:space="0" w:color="BFBFBF"/>
              <w:right w:val="single" w:sz="2" w:space="0" w:color="BFBFBF"/>
            </w:tcBorders>
            <w:shd w:fill="F2F2F2" w:val="clear"/>
            <w:vAlign w:val="center"/>
          </w:tcPr>
          <w:p>
            <w:pPr>
              <w:pStyle w:val="Normal"/>
              <w:spacing w:lineRule="exact" w:line="252" w:before="0" w:after="0"/>
              <w:jc w:val="left"/>
              <w:rPr/>
            </w:pPr>
            <w:r>
              <w:rPr/>
            </w:r>
          </w:p>
        </w:tc>
      </w:tr>
    </w:tbl>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080" w:right="1080" w:gutter="0" w:header="560" w:top="1500" w:footer="460" w:bottom="120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Arial">
    <w:charset w:val="01"/>
    <w:family w:val="swiss"/>
    <w:pitch w:val="variable"/>
  </w:font>
  <w:font w:name="Liberation Sans">
    <w:altName w:val="Arial"/>
    <w:charset w:val="01"/>
    <w:family w:val="roman"/>
    <w:pitch w:val="variable"/>
  </w:font>
  <w:font w:name="Wingdings">
    <w:charset w:val="02"/>
    <w:family w:val="auto"/>
    <w:pitch w:val="default"/>
  </w:font>
  <w:font w:name="Wingdings 2">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6" w:space="0" w:color="BFBFBF"/>
      </w:pBdr>
      <w:spacing w:before="0" w:after="0"/>
      <w:rPr/>
    </w:pPr>
    <w:r>
      <w:rPr/>
    </w:r>
  </w:p>
  <w:p>
    <w:pPr>
      <w:pStyle w:val="Normal"/>
      <w:tabs>
        <w:tab w:val="clear" w:pos="720"/>
        <w:tab w:val="center" w:pos="4513" w:leader="none"/>
        <w:tab w:val="right" w:pos="9026" w:leader="none"/>
      </w:tabs>
      <w:spacing w:before="40" w:after="0"/>
      <w:jc w:val="center"/>
      <w:rPr/>
    </w:pPr>
    <w:r>
      <w:rPr>
        <w:color w:val="595959"/>
        <w:sz w:val="16"/>
      </w:rPr>
      <w:t xml:space="preserve">PO-SST-001 · Confidentiel · hem-consulting.com · Page </w:t>
    </w:r>
    <w:r>
      <w:rPr/>
      <w:fldChar w:fldCharType="begin"/>
    </w:r>
    <w:r>
      <w:rPr/>
      <w:instrText xml:space="preserve"> PAGE </w:instrText>
    </w:r>
    <w:r>
      <w:rPr/>
      <w:fldChar w:fldCharType="separate"/>
    </w:r>
    <w:r>
      <w:rPr/>
      <w:t>8</w:t>
    </w:r>
    <w:r>
      <w:rPr/>
      <w:fldChar w:fldCharType="end"/>
    </w:r>
    <w:r>
      <w:rPr>
        <w:color w:val="595959"/>
        <w:sz w:val="16"/>
      </w:rPr>
      <w:t xml:space="preserve"> / </w:t>
    </w:r>
    <w:r>
      <w:rPr/>
      <w:fldChar w:fldCharType="begin"/>
    </w:r>
    <w:r>
      <w:rPr/>
      <w:instrText xml:space="preserve"> NUMPAGES </w:instrText>
    </w:r>
    <w:r>
      <w:rPr/>
      <w:fldChar w:fldCharType="separate"/>
    </w:r>
    <w:r>
      <w:rPr/>
      <w:t>8</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6" w:space="0" w:color="BFBFBF"/>
      </w:pBdr>
      <w:spacing w:before="0" w:after="0"/>
      <w:rPr/>
    </w:pPr>
    <w:r>
      <w:rPr/>
    </w:r>
  </w:p>
  <w:p>
    <w:pPr>
      <w:pStyle w:val="Normal"/>
      <w:tabs>
        <w:tab w:val="clear" w:pos="720"/>
        <w:tab w:val="center" w:pos="4513" w:leader="none"/>
        <w:tab w:val="right" w:pos="9026" w:leader="none"/>
      </w:tabs>
      <w:spacing w:before="40" w:after="0"/>
      <w:jc w:val="center"/>
      <w:rPr/>
    </w:pPr>
    <w:r>
      <w:rPr>
        <w:color w:val="595959"/>
        <w:sz w:val="16"/>
      </w:rPr>
      <w:t xml:space="preserve">PO-SST-001 · Confidentiel · hem-consulting.com · Page </w:t>
    </w:r>
    <w:r>
      <w:rPr/>
      <w:fldChar w:fldCharType="begin"/>
    </w:r>
    <w:r>
      <w:rPr/>
      <w:instrText xml:space="preserve"> PAGE </w:instrText>
    </w:r>
    <w:r>
      <w:rPr/>
      <w:fldChar w:fldCharType="separate"/>
    </w:r>
    <w:r>
      <w:rPr/>
      <w:t>8</w:t>
    </w:r>
    <w:r>
      <w:rPr/>
      <w:fldChar w:fldCharType="end"/>
    </w:r>
    <w:r>
      <w:rPr>
        <w:color w:val="595959"/>
        <w:sz w:val="16"/>
      </w:rPr>
      <w:t xml:space="preserve"> / </w:t>
    </w:r>
    <w:r>
      <w:rPr/>
      <w:fldChar w:fldCharType="begin"/>
    </w:r>
    <w:r>
      <w:rPr/>
      <w:instrText xml:space="preserve"> NUMPAGES </w:instrText>
    </w:r>
    <w:r>
      <w:rPr/>
      <w:fldChar w:fldCharType="separate"/>
    </w:r>
    <w:r>
      <w:rPr/>
      <w:t>8</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026" w:type="dxa"/>
      <w:jc w:val="left"/>
      <w:tblInd w:w="0" w:type="dxa"/>
      <w:tblLayout w:type="fixed"/>
      <w:tblCellMar>
        <w:top w:w="0" w:type="dxa"/>
        <w:left w:w="108" w:type="dxa"/>
        <w:bottom w:w="0" w:type="dxa"/>
        <w:right w:w="108" w:type="dxa"/>
      </w:tblCellMar>
    </w:tblPr>
    <w:tblGrid>
      <w:gridCol w:w="4513"/>
      <w:gridCol w:w="4512"/>
    </w:tblGrid>
    <w:tr>
      <w:trPr/>
      <w:tc>
        <w:tcPr>
          <w:tcW w:w="4513" w:type="dxa"/>
          <w:tcBorders/>
          <w:vAlign w:val="center"/>
        </w:tcPr>
        <w:p>
          <w:pPr>
            <w:pStyle w:val="Normal"/>
            <w:pBdr>
              <w:top w:val="dashed" w:sz="4" w:space="0" w:color="2E75B6"/>
              <w:left w:val="dashed" w:sz="4" w:space="0" w:color="2E75B6"/>
              <w:bottom w:val="dashed" w:sz="4" w:space="0" w:color="2E75B6"/>
              <w:right w:val="dashed" w:sz="4" w:space="0" w:color="2E75B6"/>
            </w:pBdr>
            <w:spacing w:before="0" w:after="0"/>
            <w:jc w:val="left"/>
            <w:rPr/>
          </w:pPr>
          <w:r>
            <w:rPr>
              <w:i/>
              <w:color w:val="595959"/>
              <w:sz w:val="18"/>
            </w:rPr>
            <w:t>[Votre Logo Ici]</w:t>
          </w:r>
        </w:p>
        <w:p>
          <w:pPr>
            <w:pStyle w:val="Normal"/>
            <w:jc w:val="left"/>
            <w:rPr/>
          </w:pPr>
          <w:r>
            <w:rPr>
              <w:i/>
              <w:color w:val="595959"/>
              <w:sz w:val="18"/>
            </w:rPr>
            <w:t>[Nom organisation]</w:t>
          </w:r>
        </w:p>
      </w:tc>
      <w:tc>
        <w:tcPr>
          <w:tcW w:w="4512" w:type="dxa"/>
          <w:tcBorders/>
          <w:vAlign w:val="center"/>
        </w:tcPr>
        <w:p>
          <w:pPr>
            <w:pStyle w:val="Normal"/>
            <w:spacing w:before="0" w:after="0"/>
            <w:jc w:val="right"/>
            <w:rPr/>
          </w:pPr>
          <w:r>
            <w:rPr/>
            <w:drawing>
              <wp:inline distT="0" distB="0" distL="0" distR="0">
                <wp:extent cx="539750" cy="539750"/>
                <wp:effectExtent l="0" t="0" r="0" b="0"/>
                <wp:docPr id="2"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
                        <pic:cNvPicPr>
                          <a:picLocks noChangeAspect="1" noChangeArrowheads="1"/>
                        </pic:cNvPicPr>
                      </pic:nvPicPr>
                      <pic:blipFill>
                        <a:blip r:embed="rId1"/>
                        <a:stretch>
                          <a:fillRect/>
                        </a:stretch>
                      </pic:blipFill>
                      <pic:spPr bwMode="auto">
                        <a:xfrm>
                          <a:off x="0" y="0"/>
                          <a:ext cx="539750" cy="539750"/>
                        </a:xfrm>
                        <a:prstGeom prst="rect">
                          <a:avLst/>
                        </a:prstGeom>
                      </pic:spPr>
                    </pic:pic>
                  </a:graphicData>
                </a:graphic>
              </wp:inline>
            </w:drawing>
          </w:r>
        </w:p>
        <w:p>
          <w:pPr>
            <w:pStyle w:val="Normal"/>
            <w:jc w:val="right"/>
            <w:rPr/>
          </w:pPr>
          <w:r>
            <w:rPr>
              <w:i/>
              <w:color w:val="B0B0B0"/>
              <w:sz w:val="14"/>
            </w:rPr>
            <w:t>Édité par HEMC</w:t>
          </w:r>
        </w:p>
      </w:tc>
    </w:tr>
  </w:tbl>
  <w:p>
    <w:pPr>
      <w:pStyle w:val="Normal"/>
      <w:pBdr>
        <w:bottom w:val="single" w:sz="10" w:space="0" w:color="4F9B3E"/>
      </w:pBdr>
      <w:spacing w:before="40" w:after="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026" w:type="dxa"/>
      <w:jc w:val="left"/>
      <w:tblInd w:w="0" w:type="dxa"/>
      <w:tblLayout w:type="fixed"/>
      <w:tblCellMar>
        <w:top w:w="0" w:type="dxa"/>
        <w:left w:w="108" w:type="dxa"/>
        <w:bottom w:w="0" w:type="dxa"/>
        <w:right w:w="108" w:type="dxa"/>
      </w:tblCellMar>
    </w:tblPr>
    <w:tblGrid>
      <w:gridCol w:w="4513"/>
      <w:gridCol w:w="4512"/>
    </w:tblGrid>
    <w:tr>
      <w:trPr/>
      <w:tc>
        <w:tcPr>
          <w:tcW w:w="4513" w:type="dxa"/>
          <w:tcBorders/>
          <w:vAlign w:val="center"/>
        </w:tcPr>
        <w:p>
          <w:pPr>
            <w:pStyle w:val="Normal"/>
            <w:pBdr>
              <w:top w:val="dashed" w:sz="4" w:space="0" w:color="2E75B6"/>
              <w:left w:val="dashed" w:sz="4" w:space="0" w:color="2E75B6"/>
              <w:bottom w:val="dashed" w:sz="4" w:space="0" w:color="2E75B6"/>
              <w:right w:val="dashed" w:sz="4" w:space="0" w:color="2E75B6"/>
            </w:pBdr>
            <w:spacing w:before="0" w:after="0"/>
            <w:jc w:val="left"/>
            <w:rPr/>
          </w:pPr>
          <w:r>
            <w:rPr>
              <w:i/>
              <w:color w:val="595959"/>
              <w:sz w:val="18"/>
            </w:rPr>
            <w:t>[Votre Logo Ici]</w:t>
          </w:r>
        </w:p>
        <w:p>
          <w:pPr>
            <w:pStyle w:val="Normal"/>
            <w:jc w:val="left"/>
            <w:rPr/>
          </w:pPr>
          <w:r>
            <w:rPr>
              <w:i/>
              <w:color w:val="595959"/>
              <w:sz w:val="18"/>
            </w:rPr>
            <w:t>[Nom organisation]</w:t>
          </w:r>
        </w:p>
      </w:tc>
      <w:tc>
        <w:tcPr>
          <w:tcW w:w="4512" w:type="dxa"/>
          <w:tcBorders/>
          <w:vAlign w:val="center"/>
        </w:tcPr>
        <w:p>
          <w:pPr>
            <w:pStyle w:val="Normal"/>
            <w:spacing w:before="0" w:after="0"/>
            <w:jc w:val="right"/>
            <w:rPr/>
          </w:pPr>
          <w:r>
            <w:rPr/>
            <w:drawing>
              <wp:inline distT="0" distB="0" distL="0" distR="0">
                <wp:extent cx="539750" cy="539750"/>
                <wp:effectExtent l="0" t="0" r="0" b="0"/>
                <wp:docPr id="3"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
                        <pic:cNvPicPr>
                          <a:picLocks noChangeAspect="1" noChangeArrowheads="1"/>
                        </pic:cNvPicPr>
                      </pic:nvPicPr>
                      <pic:blipFill>
                        <a:blip r:embed="rId1"/>
                        <a:stretch>
                          <a:fillRect/>
                        </a:stretch>
                      </pic:blipFill>
                      <pic:spPr bwMode="auto">
                        <a:xfrm>
                          <a:off x="0" y="0"/>
                          <a:ext cx="539750" cy="539750"/>
                        </a:xfrm>
                        <a:prstGeom prst="rect">
                          <a:avLst/>
                        </a:prstGeom>
                      </pic:spPr>
                    </pic:pic>
                  </a:graphicData>
                </a:graphic>
              </wp:inline>
            </w:drawing>
          </w:r>
        </w:p>
        <w:p>
          <w:pPr>
            <w:pStyle w:val="Normal"/>
            <w:jc w:val="right"/>
            <w:rPr/>
          </w:pPr>
          <w:r>
            <w:rPr>
              <w:i/>
              <w:color w:val="B0B0B0"/>
              <w:sz w:val="14"/>
            </w:rPr>
            <w:t>Édité par HEMC</w:t>
          </w:r>
        </w:p>
      </w:tc>
    </w:tr>
  </w:tbl>
  <w:p>
    <w:pPr>
      <w:pStyle w:val="Normal"/>
      <w:pBdr>
        <w:bottom w:val="single" w:sz="10" w:space="0" w:color="4F9B3E"/>
      </w:pBdr>
      <w:spacing w:before="40" w:after="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
    <w:lvlOverride w:ilvl="0">
      <w:startOverride w:val="1"/>
    </w:lvlOverride>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color w:val="222222"/>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Arial" w:hAnsi="Arial" w:eastAsia="Arial" w:cs="Arial"/>
      <w:color w:val="222222"/>
      <w:kern w:val="0"/>
      <w:sz w:val="20"/>
      <w:szCs w:val="20"/>
      <w:lang w:val="en-US" w:eastAsia="zh-CN" w:bidi="hi-IN"/>
    </w:rPr>
  </w:style>
  <w:style w:type="paragraph" w:styleId="Heading1">
    <w:name w:val="Heading 1"/>
    <w:basedOn w:val="Heading"/>
    <w:qFormat/>
    <w:pPr/>
    <w:rPr>
      <w:rFonts w:ascii="Arial" w:hAnsi="Arial" w:eastAsia="Arial" w:cs="Arial"/>
      <w:b/>
      <w:bCs/>
      <w:color w:val="1F4E79"/>
      <w:sz w:val="28"/>
      <w:szCs w:val="28"/>
    </w:rPr>
  </w:style>
  <w:style w:type="paragraph" w:styleId="Heading2">
    <w:name w:val="Heading 2"/>
    <w:basedOn w:val="Heading"/>
    <w:qFormat/>
    <w:pPr/>
    <w:rPr>
      <w:rFonts w:ascii="Arial" w:hAnsi="Arial" w:eastAsia="Arial" w:cs="Arial"/>
      <w:b/>
      <w:bCs/>
      <w:color w:val="2E75B6"/>
      <w:sz w:val="23"/>
      <w:szCs w:val="23"/>
    </w:rPr>
  </w:style>
  <w:style w:type="paragraph" w:styleId="Heading3">
    <w:name w:val="Heading 3"/>
    <w:basedOn w:val="Heading"/>
    <w:qFormat/>
    <w:pPr/>
    <w:rPr>
      <w:color w:val="1F4D78"/>
      <w:sz w:val="24"/>
      <w:szCs w:val="24"/>
    </w:rPr>
  </w:style>
  <w:style w:type="paragraph" w:styleId="Heading4">
    <w:name w:val="Heading 4"/>
    <w:basedOn w:val="Heading"/>
    <w:qFormat/>
    <w:pPr/>
    <w:rPr>
      <w:i/>
      <w:iCs/>
      <w:color w:val="2E74B5"/>
    </w:rPr>
  </w:style>
  <w:style w:type="paragraph" w:styleId="Heading5">
    <w:name w:val="Heading 5"/>
    <w:basedOn w:val="Heading"/>
    <w:qFormat/>
    <w:pPr/>
    <w:rPr>
      <w:color w:val="2E74B5"/>
    </w:rPr>
  </w:style>
  <w:style w:type="paragraph" w:styleId="Heading6">
    <w:name w:val="Heading 6"/>
    <w:basedOn w:val="Heading"/>
    <w:qFormat/>
    <w:pPr/>
    <w:rPr>
      <w:color w:val="1F4D78"/>
    </w:rPr>
  </w:style>
  <w:style w:type="character" w:styleId="Hyperlink">
    <w:name w:val="Hyperlink"/>
    <w:uiPriority w:val="99"/>
    <w:unhideWhenUsed/>
    <w:rPr>
      <w:color w:val="0563C1"/>
      <w:u w:val="single"/>
    </w:rPr>
  </w:style>
  <w:style w:type="character" w:styleId="FootnoteCharacters">
    <w:name w:val="Footnote Characters"/>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link w:val="FootnoteText"/>
    <w:uiPriority w:val="99"/>
    <w:semiHidden/>
    <w:unhideWhenUsed/>
    <w:qFormat/>
    <w:rPr>
      <w:sz w:val="20"/>
      <w:szCs w:val="20"/>
    </w:rPr>
  </w:style>
  <w:style w:type="character" w:styleId="EndnoteCharacters">
    <w:name w:val="Endnote Characters"/>
    <w:uiPriority w:val="99"/>
    <w:semiHidden/>
    <w:unhideWhenUsed/>
    <w:qFormat/>
    <w:rPr>
      <w:vertAlign w:val="superscript"/>
    </w:rPr>
  </w:style>
  <w:style w:type="character" w:styleId="EndnoteReference">
    <w:name w:val="Endnote Reference"/>
    <w:rPr>
      <w:vertAlign w:val="superscript"/>
    </w:rPr>
  </w:style>
  <w:style w:type="character" w:styleId="EndnoteTextChar">
    <w:name w:val="Endnote Text Char"/>
    <w:link w:val="EndnoteText"/>
    <w:uiPriority w:val="99"/>
    <w:semiHidden/>
    <w:unhideWhenUsed/>
    <w:qFormat/>
    <w:rPr>
      <w:sz w:val="20"/>
      <w:szCs w:val="20"/>
    </w:rPr>
  </w:style>
  <w:style w:type="paragraph" w:styleId="Heading">
    <w:name w:val="Heading"/>
    <w:basedOn w:val="Normal"/>
    <w:next w:val="BodyText"/>
    <w:qFormat/>
    <w:pPr>
      <w:keepNext w:val="true"/>
      <w:spacing w:before="240" w:after="120"/>
    </w:pPr>
    <w:rPr>
      <w:rFonts w:ascii="Liberation Sans" w:hAnsi="Liberation Sans" w:eastAsia="Noto Sans CJK SC"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Title">
    <w:name w:val="Title"/>
    <w:basedOn w:val="Heading"/>
    <w:qFormat/>
    <w:pPr/>
    <w:rPr>
      <w:sz w:val="56"/>
      <w:szCs w:val="56"/>
    </w:rPr>
  </w:style>
  <w:style w:type="paragraph" w:styleId="StrongEmphasis">
    <w:name w:val="Strong Emphasis"/>
    <w:qFormat/>
    <w:pPr>
      <w:widowControl/>
      <w:suppressAutoHyphens w:val="true"/>
      <w:bidi w:val="0"/>
      <w:spacing w:before="0" w:after="0"/>
      <w:jc w:val="left"/>
    </w:pPr>
    <w:rPr>
      <w:rFonts w:ascii="Arial" w:hAnsi="Arial" w:eastAsia="Arial" w:cs="Arial"/>
      <w:b/>
      <w:bCs/>
      <w:color w:val="222222"/>
      <w:kern w:val="0"/>
      <w:sz w:val="20"/>
      <w:szCs w:val="20"/>
      <w:lang w:val="en-US" w:eastAsia="zh-CN" w:bidi="hi-IN"/>
    </w:rPr>
  </w:style>
  <w:style w:type="paragraph" w:styleId="ListParagraph">
    <w:name w:val="List Paragraph"/>
    <w:qFormat/>
    <w:pPr>
      <w:widowControl/>
      <w:suppressAutoHyphens w:val="true"/>
      <w:bidi w:val="0"/>
      <w:spacing w:before="0" w:after="0"/>
      <w:jc w:val="left"/>
    </w:pPr>
    <w:rPr>
      <w:rFonts w:ascii="Arial" w:hAnsi="Arial" w:eastAsia="Arial" w:cs="Arial"/>
      <w:color w:val="222222"/>
      <w:kern w:val="0"/>
      <w:sz w:val="20"/>
      <w:szCs w:val="20"/>
      <w:lang w:val="en-US"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 w:type="paragraph" w:styleId="EndnoteText">
    <w:name w:val="Endnote Text"/>
    <w:basedOn w:val="Normal"/>
    <w:link w:val="EndnoteTextChar"/>
    <w:uiPriority w:val="99"/>
    <w:semiHidden/>
    <w:unhideWhenUsed/>
    <w:pPr>
      <w:spacing w:lineRule="auto" w:line="240" w:before="0" w:after="0"/>
    </w:pPr>
    <w:rPr>
      <w:sz w:val="20"/>
      <w:szCs w:val="20"/>
    </w:rPr>
  </w:style>
  <w:style w:type="paragraph" w:styleId="HeaderandFooter">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 w:type="paragraph" w:styleId="IndexHeading">
    <w:name w:val="Index Heading"/>
    <w:basedOn w:val="Heading"/>
    <w:pPr/>
    <w:rPr/>
  </w:style>
  <w:style w:type="paragraph" w:styleId="TOCHeading">
    <w:name w:val="TOC Heading"/>
    <w:basedOn w:val="IndexHeading"/>
    <w:qFormat/>
    <w:pPr/>
    <w:rPr/>
  </w:style>
  <w:style w:type="paragraph" w:styleId="TOC1">
    <w:name w:val="TOC 1"/>
    <w:basedOn w:val="Index"/>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LibreOffice/24.2.7.2$Linux_X86_64 LibreOffice_project/420$Build-2</Application>
  <AppVersion>15.0000</AppVersion>
  <Pages>8</Pages>
  <Words>1957</Words>
  <Characters>11174</Characters>
  <CharactersWithSpaces>13039</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2026-07-08T14:55:47Z</dcterms:created>
  <dc:creator>Hub Engineering Management Consulting</dc:creator>
  <dc:description>Ce document formalise la politique de santé et de sécurité au travail (S&amp;ST) de l'organisme : les intentions et orientations formulées par la direction, les engagements qui en découlent, et le cadre dans lequel s'inscrivent les objectifs SST. Il satisfait l'exigence §5.2 de l'ISO 45001:2018.</dc:description>
  <dc:language>en-US</dc:language>
  <cp:lastModifiedBy>Hub Engineering Management Consulting</cp:lastModifiedBy>
  <dcterms:modified xsi:type="dcterms:W3CDTF">2026-07-13T14:04:59Z</dcterms:modified>
  <cp:revision>4</cp:revision>
  <dc:subject/>
  <dc:title>Politique de Santé et de Sécurité au Travail</dc:title>
</cp:coreProperties>
</file>

<file path=docProps/custom.xml><?xml version="1.0" encoding="utf-8"?>
<Properties xmlns="http://schemas.openxmlformats.org/officeDocument/2006/custom-properties" xmlns:vt="http://schemas.openxmlformats.org/officeDocument/2006/docPropsVTypes"/>
</file>