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auto" w:line="240" w:before="0" w:after="40"/>
        <w:jc w:val="center"/>
        <w:rPr/>
      </w:pPr>
      <w:r>
        <w:rPr>
          <w:rFonts w:cs="Arial"/>
          <w:b w:val="false"/>
          <w:i w:val="false"/>
          <w:color w:val="595959"/>
          <w:sz w:val="22"/>
        </w:rPr>
        <w:t>Système de Management de la Santé et de la Sécurité au Travail</w:t>
      </w:r>
    </w:p>
    <w:p>
      <w:pPr>
        <w:pStyle w:val="Normal"/>
        <w:spacing w:lineRule="auto" w:line="240" w:before="0" w:after="440"/>
        <w:jc w:val="center"/>
        <w:rPr/>
      </w:pPr>
      <w:r>
        <w:rPr>
          <w:rFonts w:cs="Arial"/>
          <w:b/>
          <w:i w:val="false"/>
          <w:color w:val="595959"/>
          <w:sz w:val="22"/>
        </w:rPr>
        <w:t>FICHE DE PROCESSUS</w:t>
      </w:r>
    </w:p>
    <w:p>
      <w:pPr>
        <w:pStyle w:val="Normal"/>
        <w:spacing w:lineRule="auto" w:line="240" w:before="0" w:after="200"/>
        <w:jc w:val="center"/>
        <w:rPr/>
      </w:pPr>
      <w:r>
        <w:rPr>
          <w:rFonts w:cs="Arial"/>
          <w:b/>
          <w:i w:val="false"/>
          <w:color w:val="1F4E79"/>
          <w:sz w:val="52"/>
        </w:rPr>
        <w:t>Leadership et pilotage du système</w:t>
      </w:r>
    </w:p>
    <w:p>
      <w:pPr>
        <w:pStyle w:val="Normal"/>
        <w:spacing w:lineRule="auto" w:line="240" w:before="0" w:after="520"/>
        <w:jc w:val="center"/>
        <w:rPr/>
      </w:pPr>
      <w:r>
        <w:rPr>
          <w:rFonts w:cs="Arial"/>
          <w:b w:val="false"/>
          <w:i/>
          <w:color w:val="2E75B6"/>
          <w:sz w:val="25"/>
        </w:rPr>
        <w:t>ISO 45001:2018 §4 · §5 · §6.2 · §9.3</w:t>
      </w:r>
    </w:p>
    <w:p>
      <w:pPr>
        <w:pStyle w:val="Normal"/>
        <w:spacing w:lineRule="auto" w:line="240" w:before="0" w:after="40"/>
        <w:jc w:val="center"/>
        <w:rPr/>
      </w:pPr>
      <w:r>
        <w:rPr>
          <w:rFonts w:cs="Arial"/>
          <w:b w:val="false"/>
          <w:i w:val="false"/>
          <w:color w:val="595959"/>
          <w:sz w:val="22"/>
        </w:rPr>
        <w:t>Référence : PM-DIR     |     Révision : 1.0     |     Statut : Approuvé</w:t>
      </w:r>
    </w:p>
    <w:p>
      <w:pPr>
        <w:pStyle w:val="Normal"/>
        <w:spacing w:lineRule="auto" w:line="240" w:before="0" w:after="40"/>
        <w:jc w:val="center"/>
        <w:rPr/>
      </w:pPr>
      <w:r>
        <w:rPr>
          <w:rFonts w:cs="Arial"/>
          <w:b w:val="false"/>
          <w:i w:val="false"/>
          <w:color w:val="595959"/>
          <w:sz w:val="20"/>
        </w:rPr>
        <w:t>Famille de processus : Pilotage</w:t>
      </w:r>
    </w:p>
    <w:p>
      <w:pPr>
        <w:pStyle w:val="Normal"/>
        <w:rPr/>
      </w:pPr>
      <w:r>
        <w:rPr/>
        <w:br/>
        <w:br/>
      </w:r>
    </w:p>
    <w:p>
      <w:pPr>
        <w:pStyle w:val="Normal"/>
        <w:rPr/>
      </w:pPr>
      <w:r>
        <w:rPr/>
      </w:r>
      <w:r>
        <w:br w:type="page"/>
      </w:r>
    </w:p>
    <w:p>
      <w:pPr>
        <w:pStyle w:val="Normal"/>
        <w:pBdr>
          <w:bottom w:val="single" w:sz="8" w:space="4" w:color="1F4E79"/>
        </w:pBdr>
        <w:spacing w:before="0" w:after="160"/>
        <w:jc w:val="left"/>
        <w:rPr/>
      </w:pPr>
      <w:r>
        <w:rPr>
          <w:rFonts w:cs="Arial"/>
          <w:b/>
          <w:color w:val="1F4E79"/>
          <w:sz w:val="30"/>
        </w:rPr>
        <w:t>Sommaire</w:t>
      </w:r>
    </w:p>
    <w:sdt>
      <w:sdtPr>
        <w:docPartObj>
          <w:docPartGallery w:val="Table of Contents"/>
          <w:docPartUnique w:val="true"/>
        </w:docPartObj>
      </w:sdtPr>
      <w:sdtContent>
        <w:p>
          <w:pPr>
            <w:pStyle w:val="TOC1"/>
            <w:tabs>
              <w:tab w:val="clear" w:pos="9412"/>
              <w:tab w:val="right" w:pos="9411" w:leader="dot"/>
            </w:tabs>
            <w:rPr/>
          </w:pPr>
          <w:r>
            <w:fldChar w:fldCharType="begin"/>
          </w:r>
          <w:r>
            <w:rPr>
              <w:webHidden/>
              <w:rStyle w:val="IndexLink"/>
            </w:rPr>
            <w:instrText xml:space="preserve"> TOC \z \o "1-1" \u \h</w:instrText>
          </w:r>
          <w:r>
            <w:rPr>
              <w:webHidden/>
              <w:rStyle w:val="IndexLink"/>
            </w:rPr>
            <w:fldChar w:fldCharType="separate"/>
          </w:r>
          <w:hyperlink w:anchor="__RefHeading___Toc3245_2421208535">
            <w:r>
              <w:rPr>
                <w:webHidden/>
                <w:rStyle w:val="IndexLink"/>
              </w:rPr>
              <w:t>1. Finalité</w:t>
              <w:tab/>
              <w:t>3</w:t>
            </w:r>
          </w:hyperlink>
        </w:p>
        <w:p>
          <w:pPr>
            <w:pStyle w:val="TOC1"/>
            <w:tabs>
              <w:tab w:val="clear" w:pos="9412"/>
              <w:tab w:val="right" w:pos="9411" w:leader="dot"/>
            </w:tabs>
            <w:rPr/>
          </w:pPr>
          <w:hyperlink w:anchor="__RefHeading___Toc3247_2421208535">
            <w:r>
              <w:rPr>
                <w:webHidden/>
                <w:rStyle w:val="IndexLink"/>
              </w:rPr>
              <w:t>2. Maîtrise du document</w:t>
              <w:tab/>
              <w:t>3</w:t>
            </w:r>
          </w:hyperlink>
        </w:p>
        <w:p>
          <w:pPr>
            <w:pStyle w:val="TOC1"/>
            <w:tabs>
              <w:tab w:val="clear" w:pos="9412"/>
              <w:tab w:val="right" w:pos="9411" w:leader="dot"/>
            </w:tabs>
            <w:rPr/>
          </w:pPr>
          <w:hyperlink w:anchor="__RefHeading___Toc3249_2421208535">
            <w:r>
              <w:rPr>
                <w:webHidden/>
                <w:rStyle w:val="IndexLink"/>
              </w:rPr>
              <w:t>3. Pilote du processus</w:t>
              <w:tab/>
              <w:t>3</w:t>
            </w:r>
          </w:hyperlink>
        </w:p>
        <w:p>
          <w:pPr>
            <w:pStyle w:val="TOC1"/>
            <w:tabs>
              <w:tab w:val="clear" w:pos="9412"/>
              <w:tab w:val="right" w:pos="9411" w:leader="dot"/>
            </w:tabs>
            <w:rPr/>
          </w:pPr>
          <w:hyperlink w:anchor="__RefHeading___Toc3251_2421208535">
            <w:r>
              <w:rPr>
                <w:webHidden/>
                <w:rStyle w:val="IndexLink"/>
              </w:rPr>
              <w:t>4. Domaine d’application</w:t>
              <w:tab/>
              <w:t>3</w:t>
            </w:r>
          </w:hyperlink>
        </w:p>
        <w:p>
          <w:pPr>
            <w:pStyle w:val="TOC1"/>
            <w:tabs>
              <w:tab w:val="clear" w:pos="9412"/>
              <w:tab w:val="right" w:pos="9411" w:leader="dot"/>
            </w:tabs>
            <w:rPr/>
          </w:pPr>
          <w:hyperlink w:anchor="__RefHeading___Toc3253_2421208535">
            <w:r>
              <w:rPr>
                <w:webHidden/>
                <w:rStyle w:val="IndexLink"/>
              </w:rPr>
              <w:t>5. Éléments d’entrée</w:t>
              <w:tab/>
              <w:t>3</w:t>
            </w:r>
          </w:hyperlink>
        </w:p>
        <w:p>
          <w:pPr>
            <w:pStyle w:val="TOC1"/>
            <w:tabs>
              <w:tab w:val="clear" w:pos="9412"/>
              <w:tab w:val="right" w:pos="9411" w:leader="dot"/>
            </w:tabs>
            <w:rPr/>
          </w:pPr>
          <w:hyperlink w:anchor="__RefHeading___Toc3255_2421208535">
            <w:r>
              <w:rPr>
                <w:webHidden/>
                <w:rStyle w:val="IndexLink"/>
              </w:rPr>
              <w:t>6. Éléments de sortie</w:t>
              <w:tab/>
              <w:t>3</w:t>
            </w:r>
          </w:hyperlink>
        </w:p>
        <w:p>
          <w:pPr>
            <w:pStyle w:val="TOC1"/>
            <w:tabs>
              <w:tab w:val="clear" w:pos="9412"/>
              <w:tab w:val="right" w:pos="9411" w:leader="dot"/>
            </w:tabs>
            <w:rPr/>
          </w:pPr>
          <w:hyperlink w:anchor="__RefHeading___Toc3257_2421208535">
            <w:r>
              <w:rPr>
                <w:webHidden/>
                <w:rStyle w:val="IndexLink"/>
              </w:rPr>
              <w:t>7. Activités clés</w:t>
              <w:tab/>
              <w:t>4</w:t>
            </w:r>
          </w:hyperlink>
        </w:p>
        <w:p>
          <w:pPr>
            <w:pStyle w:val="TOC1"/>
            <w:tabs>
              <w:tab w:val="clear" w:pos="9412"/>
              <w:tab w:val="right" w:pos="9411" w:leader="dot"/>
            </w:tabs>
            <w:rPr/>
          </w:pPr>
          <w:hyperlink w:anchor="__RefHeading___Toc3259_2421208535">
            <w:r>
              <w:rPr>
                <w:webHidden/>
                <w:rStyle w:val="IndexLink"/>
              </w:rPr>
              <w:t>8. Interactions du processus</w:t>
              <w:tab/>
              <w:t>5</w:t>
            </w:r>
          </w:hyperlink>
        </w:p>
        <w:p>
          <w:pPr>
            <w:pStyle w:val="TOC1"/>
            <w:tabs>
              <w:tab w:val="clear" w:pos="9412"/>
              <w:tab w:val="right" w:pos="9411" w:leader="dot"/>
            </w:tabs>
            <w:rPr/>
          </w:pPr>
          <w:hyperlink w:anchor="__RefHeading___Toc3261_2421208535">
            <w:r>
              <w:rPr>
                <w:webHidden/>
                <w:rStyle w:val="IndexLink"/>
              </w:rPr>
              <w:t>9. Indicateurs de performance</w:t>
              <w:tab/>
              <w:t>6</w:t>
            </w:r>
          </w:hyperlink>
        </w:p>
        <w:p>
          <w:pPr>
            <w:pStyle w:val="TOC1"/>
            <w:tabs>
              <w:tab w:val="clear" w:pos="9412"/>
              <w:tab w:val="right" w:pos="9411" w:leader="dot"/>
            </w:tabs>
            <w:rPr/>
          </w:pPr>
          <w:hyperlink w:anchor="__RefHeading___Toc3263_2421208535">
            <w:r>
              <w:rPr>
                <w:webHidden/>
                <w:rStyle w:val="IndexLink"/>
              </w:rPr>
              <w:t>10. Risques et points de maîtrise</w:t>
              <w:tab/>
              <w:t>6</w:t>
            </w:r>
          </w:hyperlink>
        </w:p>
        <w:p>
          <w:pPr>
            <w:pStyle w:val="TOC1"/>
            <w:tabs>
              <w:tab w:val="clear" w:pos="9412"/>
              <w:tab w:val="right" w:pos="9411" w:leader="dot"/>
            </w:tabs>
            <w:rPr/>
          </w:pPr>
          <w:hyperlink w:anchor="__RefHeading___Toc3265_2421208535">
            <w:r>
              <w:rPr>
                <w:webHidden/>
                <w:rStyle w:val="IndexLink"/>
              </w:rPr>
              <w:t>11. Documents et enregistrements associés</w:t>
              <w:tab/>
              <w:t>6</w:t>
            </w:r>
          </w:hyperlink>
        </w:p>
        <w:p>
          <w:pPr>
            <w:pStyle w:val="TOC1"/>
            <w:tabs>
              <w:tab w:val="clear" w:pos="9412"/>
              <w:tab w:val="right" w:pos="9411" w:leader="dot"/>
            </w:tabs>
            <w:rPr/>
          </w:pPr>
          <w:hyperlink w:anchor="__RefHeading___Toc3267_2421208535">
            <w:r>
              <w:rPr>
                <w:webHidden/>
                <w:rStyle w:val="IndexLink"/>
              </w:rPr>
              <w:t>12. Historique des révisions</w:t>
              <w:tab/>
              <w:t>7</w:t>
            </w:r>
          </w:hyperlink>
        </w:p>
        <w:p>
          <w:pPr>
            <w:pStyle w:val="TOC1"/>
            <w:tabs>
              <w:tab w:val="clear" w:pos="9412"/>
              <w:tab w:val="right" w:pos="9411" w:leader="dot"/>
            </w:tabs>
            <w:rPr/>
          </w:pPr>
          <w:hyperlink w:anchor="__RefHeading___Toc3269_2421208535">
            <w:r>
              <w:rPr>
                <w:webHidden/>
                <w:rStyle w:val="IndexLink"/>
              </w:rPr>
              <w:t>13. Approbation du document</w:t>
              <w:tab/>
              <w:t>7</w:t>
            </w:r>
          </w:hyperlink>
          <w:r>
            <w:rPr>
              <w:rStyle w:val="IndexLink"/>
            </w:rPr>
            <w:fldChar w:fldCharType="end"/>
          </w:r>
        </w:p>
      </w:sdtContent>
    </w:sdt>
    <w:p>
      <w:pPr>
        <w:pStyle w:val="Normal"/>
        <w:widowControl/>
        <w:bidi w:val="0"/>
        <w:spacing w:lineRule="auto" w:line="276" w:before="0" w:after="200"/>
        <w:jc w:val="left"/>
        <w:rPr>
          <w:rFonts w:ascii="Arial" w:hAnsi="Arial" w:cs="Arial"/>
          <w:color w:val="222222"/>
          <w:sz w:val="21"/>
        </w:rPr>
      </w:pPr>
      <w:r>
        <w:rPr>
          <w:rFonts w:cs="Arial"/>
          <w:color w:val="222222"/>
          <w:sz w:val="21"/>
        </w:rPr>
      </w:r>
      <w:r>
        <w:br w:type="page"/>
      </w:r>
    </w:p>
    <w:p>
      <w:pPr>
        <w:pStyle w:val="Heading1"/>
        <w:pBdr>
          <w:bottom w:val="single" w:sz="8" w:space="4" w:color="1F4E79"/>
        </w:pBdr>
        <w:spacing w:lineRule="auto" w:line="240" w:before="0" w:after="120"/>
        <w:rPr/>
      </w:pPr>
      <w:bookmarkStart w:id="0" w:name="__RefHeading___Toc3245_2421208535"/>
      <w:bookmarkEnd w:id="0"/>
      <w:r>
        <w:rPr>
          <w:rFonts w:cs="Arial" w:ascii="Arial" w:hAnsi="Arial"/>
          <w:b/>
          <w:color w:val="1F4E79"/>
          <w:sz w:val="30"/>
        </w:rPr>
        <w:t>1. Finalité</w:t>
      </w:r>
    </w:p>
    <w:p>
      <w:pPr>
        <w:pStyle w:val="Normal"/>
        <w:spacing w:lineRule="auto" w:line="259" w:before="0" w:after="120"/>
        <w:jc w:val="both"/>
        <w:rPr/>
      </w:pPr>
      <w:r>
        <w:rPr>
          <w:rFonts w:cs="Arial"/>
          <w:i w:val="false"/>
          <w:color w:val="222222"/>
          <w:sz w:val="21"/>
        </w:rPr>
        <w:t>Définir la politique, fixer le cap et piloter globalement le SMSST : contexte, leadership, objectifs et revue de direction.</w:t>
      </w:r>
    </w:p>
    <w:p>
      <w:pPr>
        <w:pStyle w:val="Normal"/>
        <w:spacing w:lineRule="auto" w:line="259" w:before="0" w:after="120"/>
        <w:jc w:val="both"/>
        <w:rPr/>
      </w:pPr>
      <w:r>
        <w:rPr>
          <w:rFonts w:cs="Arial"/>
          <w:i w:val="false"/>
          <w:color w:val="222222"/>
          <w:sz w:val="21"/>
        </w:rPr>
        <w:t>Ce processus répond aux exigences de l’ISO 45001:2018 — §4 · §5 · §6.2 · §9.3 — et s’inscrit dans l’approche processus (§4.4) du Système de Management de la SST.</w:t>
      </w:r>
    </w:p>
    <w:p>
      <w:pPr>
        <w:pStyle w:val="Heading1"/>
        <w:pBdr>
          <w:bottom w:val="single" w:sz="8" w:space="4" w:color="1F4E79"/>
        </w:pBdr>
        <w:spacing w:lineRule="auto" w:line="240" w:before="320" w:after="120"/>
        <w:rPr/>
      </w:pPr>
      <w:bookmarkStart w:id="1" w:name="__RefHeading___Toc3247_2421208535"/>
      <w:bookmarkEnd w:id="1"/>
      <w:r>
        <w:rPr>
          <w:rFonts w:cs="Arial" w:ascii="Arial" w:hAnsi="Arial"/>
          <w:b/>
          <w:color w:val="1F4E79"/>
          <w:sz w:val="30"/>
        </w:rPr>
        <w:t>2. Maîtrise du document</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1984"/>
        <w:gridCol w:w="2705"/>
        <w:gridCol w:w="1985"/>
        <w:gridCol w:w="2344"/>
      </w:tblGrid>
      <w:tr>
        <w:trPr/>
        <w:tc>
          <w:tcPr>
            <w:tcW w:w="198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N° document</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w:t>
            </w:r>
          </w:p>
        </w:tc>
        <w:tc>
          <w:tcPr>
            <w:tcW w:w="198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Révision</w:t>
            </w:r>
          </w:p>
        </w:tc>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Rév. 1.0</w:t>
            </w:r>
          </w:p>
        </w:tc>
      </w:tr>
      <w:tr>
        <w:trPr/>
        <w:tc>
          <w:tcPr>
            <w:tcW w:w="198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Pilote du processus</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Direction / Pilote SST</w:t>
            </w:r>
          </w:p>
        </w:tc>
        <w:tc>
          <w:tcPr>
            <w:tcW w:w="198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Date d’effet</w:t>
            </w:r>
          </w:p>
        </w:tc>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[À COMPLÉTER]</w:t>
            </w:r>
          </w:p>
        </w:tc>
      </w:tr>
      <w:tr>
        <w:trPr/>
        <w:tc>
          <w:tcPr>
            <w:tcW w:w="198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Référence ISO</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ISO 45001:2018 §4 · §5 · §6.2 · §9.3</w:t>
            </w:r>
          </w:p>
        </w:tc>
        <w:tc>
          <w:tcPr>
            <w:tcW w:w="198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Prochaine revue</w:t>
            </w:r>
          </w:p>
        </w:tc>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[À COMPLÉTER]</w:t>
            </w:r>
          </w:p>
        </w:tc>
      </w:tr>
      <w:tr>
        <w:trPr/>
        <w:tc>
          <w:tcPr>
            <w:tcW w:w="198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Classification</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Document contrôlé</w:t>
            </w:r>
          </w:p>
        </w:tc>
        <w:tc>
          <w:tcPr>
            <w:tcW w:w="198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Statut</w:t>
            </w:r>
          </w:p>
        </w:tc>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Approuvé</w:t>
            </w:r>
          </w:p>
        </w:tc>
      </w:tr>
    </w:tbl>
    <w:p>
      <w:pPr>
        <w:pStyle w:val="Normal"/>
        <w:spacing w:before="0" w:after="40"/>
        <w:rPr/>
      </w:pPr>
      <w:r>
        <w:rPr/>
      </w:r>
    </w:p>
    <w:p>
      <w:pPr>
        <w:pStyle w:val="Heading1"/>
        <w:pBdr>
          <w:bottom w:val="single" w:sz="8" w:space="4" w:color="1F4E79"/>
        </w:pBdr>
        <w:spacing w:lineRule="auto" w:line="240" w:before="320" w:after="120"/>
        <w:rPr/>
      </w:pPr>
      <w:bookmarkStart w:id="2" w:name="__RefHeading___Toc3249_2421208535"/>
      <w:bookmarkEnd w:id="2"/>
      <w:r>
        <w:rPr>
          <w:rFonts w:cs="Arial" w:ascii="Arial" w:hAnsi="Arial"/>
          <w:b/>
          <w:color w:val="1F4E79"/>
          <w:sz w:val="30"/>
        </w:rPr>
        <w:t>3. Pilote du processus</w:t>
      </w:r>
    </w:p>
    <w:p>
      <w:pPr>
        <w:pStyle w:val="Normal"/>
        <w:spacing w:lineRule="auto" w:line="259" w:before="0" w:after="120"/>
        <w:jc w:val="both"/>
        <w:rPr/>
      </w:pPr>
      <w:r>
        <w:rPr>
          <w:rFonts w:cs="Arial"/>
          <w:i w:val="false"/>
          <w:color w:val="222222"/>
          <w:sz w:val="21"/>
        </w:rPr>
        <w:t>Direction / Pilote SST. Le pilote anime le processus, s'assure de la disponibilité des ressources et rend compte de sa performance en revue de direction.</w:t>
      </w:r>
    </w:p>
    <w:p>
      <w:pPr>
        <w:pStyle w:val="Heading1"/>
        <w:pBdr>
          <w:bottom w:val="single" w:sz="8" w:space="4" w:color="1F4E79"/>
        </w:pBdr>
        <w:spacing w:lineRule="auto" w:line="240" w:before="320" w:after="120"/>
        <w:rPr/>
      </w:pPr>
      <w:bookmarkStart w:id="3" w:name="__RefHeading___Toc3251_2421208535"/>
      <w:bookmarkEnd w:id="3"/>
      <w:r>
        <w:rPr>
          <w:rFonts w:cs="Arial" w:ascii="Arial" w:hAnsi="Arial"/>
          <w:b/>
          <w:color w:val="1F4E79"/>
          <w:sz w:val="30"/>
        </w:rPr>
        <w:t>4. Domaine d’application</w:t>
      </w:r>
    </w:p>
    <w:p>
      <w:pPr>
        <w:pStyle w:val="Normal"/>
        <w:spacing w:lineRule="auto" w:line="259" w:before="0" w:after="80"/>
        <w:jc w:val="both"/>
        <w:rPr/>
      </w:pPr>
      <w:r>
        <w:rPr>
          <w:rFonts w:cs="Arial"/>
          <w:i w:val="false"/>
          <w:color w:val="222222"/>
          <w:sz w:val="21"/>
        </w:rPr>
        <w:t>Ce processus couvre :</w:t>
      </w:r>
    </w:p>
    <w:p>
      <w:pPr>
        <w:pStyle w:val="ListBullet"/>
        <w:numPr>
          <w:ilvl w:val="0"/>
          <w:numId w:val="1"/>
        </w:numPr>
        <w:spacing w:lineRule="auto" w:line="252" w:before="0" w:after="40"/>
        <w:contextualSpacing/>
        <w:rPr/>
      </w:pPr>
      <w:r>
        <w:rPr>
          <w:rFonts w:cs="Arial"/>
          <w:color w:val="222222"/>
          <w:sz w:val="21"/>
        </w:rPr>
        <w:t>la définition et la communication de la politique SST (§5.2).</w:t>
      </w:r>
    </w:p>
    <w:p>
      <w:pPr>
        <w:pStyle w:val="ListBullet"/>
        <w:numPr>
          <w:ilvl w:val="0"/>
          <w:numId w:val="1"/>
        </w:numPr>
        <w:spacing w:lineRule="auto" w:line="252" w:before="0" w:after="40"/>
        <w:contextualSpacing/>
        <w:rPr/>
      </w:pPr>
      <w:r>
        <w:rPr>
          <w:rFonts w:cs="Arial"/>
          <w:color w:val="222222"/>
          <w:sz w:val="21"/>
        </w:rPr>
        <w:t>la définition des rôles, responsabilités et autorités (§5.3).</w:t>
      </w:r>
    </w:p>
    <w:p>
      <w:pPr>
        <w:pStyle w:val="ListBullet"/>
        <w:numPr>
          <w:ilvl w:val="0"/>
          <w:numId w:val="1"/>
        </w:numPr>
        <w:spacing w:lineRule="auto" w:line="252" w:before="0" w:after="40"/>
        <w:contextualSpacing/>
        <w:rPr/>
      </w:pPr>
      <w:r>
        <w:rPr>
          <w:rFonts w:cs="Arial"/>
          <w:color w:val="222222"/>
          <w:sz w:val="21"/>
        </w:rPr>
        <w:t>l'établissement des objectifs SST (§6.2).</w:t>
      </w:r>
    </w:p>
    <w:p>
      <w:pPr>
        <w:pStyle w:val="ListBullet"/>
        <w:numPr>
          <w:ilvl w:val="0"/>
          <w:numId w:val="1"/>
        </w:numPr>
        <w:spacing w:lineRule="auto" w:line="252" w:before="0" w:after="40"/>
        <w:contextualSpacing/>
        <w:rPr/>
      </w:pPr>
      <w:r>
        <w:rPr>
          <w:rFonts w:cs="Arial"/>
          <w:color w:val="222222"/>
          <w:sz w:val="21"/>
        </w:rPr>
        <w:t>la consultation et la participation des travailleurs (§5.4).</w:t>
      </w:r>
    </w:p>
    <w:p>
      <w:pPr>
        <w:pStyle w:val="ListBullet"/>
        <w:numPr>
          <w:ilvl w:val="0"/>
          <w:numId w:val="1"/>
        </w:numPr>
        <w:spacing w:lineRule="auto" w:line="252" w:before="0" w:after="40"/>
        <w:contextualSpacing/>
        <w:rPr/>
      </w:pPr>
      <w:r>
        <w:rPr>
          <w:rFonts w:cs="Arial"/>
          <w:color w:val="222222"/>
          <w:sz w:val="21"/>
        </w:rPr>
        <w:t>la revue de direction du système (§9.3).</w:t>
      </w:r>
    </w:p>
    <w:p>
      <w:pPr>
        <w:pStyle w:val="Heading1"/>
        <w:pBdr>
          <w:bottom w:val="single" w:sz="8" w:space="4" w:color="1F4E79"/>
        </w:pBdr>
        <w:spacing w:lineRule="auto" w:line="240" w:before="320" w:after="120"/>
        <w:rPr/>
      </w:pPr>
      <w:bookmarkStart w:id="4" w:name="__RefHeading___Toc3253_2421208535"/>
      <w:bookmarkEnd w:id="4"/>
      <w:r>
        <w:rPr>
          <w:rFonts w:cs="Arial" w:ascii="Arial" w:hAnsi="Arial"/>
          <w:b/>
          <w:color w:val="1F4E79"/>
          <w:sz w:val="30"/>
        </w:rPr>
        <w:t>5. Éléments d’entrée</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4510"/>
        <w:gridCol w:w="2523"/>
        <w:gridCol w:w="1986"/>
      </w:tblGrid>
      <w:tr>
        <w:trPr>
          <w:tblHeader w:val="true"/>
        </w:trPr>
        <w:tc>
          <w:tcPr>
            <w:tcW w:w="4510"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Élément d’entrée</w:t>
            </w:r>
          </w:p>
        </w:tc>
        <w:tc>
          <w:tcPr>
            <w:tcW w:w="252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Source</w:t>
            </w:r>
          </w:p>
        </w:tc>
        <w:tc>
          <w:tcPr>
            <w:tcW w:w="198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Référence</w:t>
            </w:r>
          </w:p>
        </w:tc>
      </w:tr>
      <w:tr>
        <w:trPr/>
        <w:tc>
          <w:tcPr>
            <w:tcW w:w="4510"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Enjeux internes et externes</w:t>
            </w:r>
          </w:p>
        </w:tc>
        <w:tc>
          <w:tcPr>
            <w:tcW w:w="252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Direction / veille</w:t>
            </w:r>
          </w:p>
        </w:tc>
        <w:tc>
          <w:tcPr>
            <w:tcW w:w="198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F-SST-001</w:t>
            </w:r>
          </w:p>
        </w:tc>
      </w:tr>
      <w:tr>
        <w:trPr/>
        <w:tc>
          <w:tcPr>
            <w:tcW w:w="4510"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Besoins et attentes des parties intéressées</w:t>
            </w:r>
          </w:p>
        </w:tc>
        <w:tc>
          <w:tcPr>
            <w:tcW w:w="252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Parties intéressées</w:t>
            </w:r>
          </w:p>
        </w:tc>
        <w:tc>
          <w:tcPr>
            <w:tcW w:w="198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F-SST-001</w:t>
            </w:r>
          </w:p>
        </w:tc>
      </w:tr>
      <w:tr>
        <w:trPr/>
        <w:tc>
          <w:tcPr>
            <w:tcW w:w="4510"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Résultats de mesure et d'audit</w:t>
            </w:r>
          </w:p>
        </w:tc>
        <w:tc>
          <w:tcPr>
            <w:tcW w:w="252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PM-AME</w:t>
            </w:r>
          </w:p>
        </w:tc>
        <w:tc>
          <w:tcPr>
            <w:tcW w:w="198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S-SUR-001</w:t>
            </w:r>
          </w:p>
        </w:tc>
      </w:tr>
      <w:tr>
        <w:trPr/>
        <w:tc>
          <w:tcPr>
            <w:tcW w:w="4510"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Exigences légales applicables</w:t>
            </w:r>
          </w:p>
        </w:tc>
        <w:tc>
          <w:tcPr>
            <w:tcW w:w="252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PS-REG</w:t>
            </w:r>
          </w:p>
        </w:tc>
        <w:tc>
          <w:tcPr>
            <w:tcW w:w="198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S-LEG-001</w:t>
            </w:r>
          </w:p>
        </w:tc>
      </w:tr>
    </w:tbl>
    <w:p>
      <w:pPr>
        <w:pStyle w:val="Normal"/>
        <w:spacing w:before="0" w:after="40"/>
        <w:rPr/>
      </w:pPr>
      <w:r>
        <w:rPr/>
      </w:r>
    </w:p>
    <w:p>
      <w:pPr>
        <w:pStyle w:val="Heading1"/>
        <w:pBdr>
          <w:bottom w:val="single" w:sz="8" w:space="4" w:color="1F4E79"/>
        </w:pBdr>
        <w:spacing w:lineRule="auto" w:line="240" w:before="320" w:after="120"/>
        <w:rPr/>
      </w:pPr>
      <w:bookmarkStart w:id="5" w:name="__RefHeading___Toc3255_2421208535"/>
      <w:bookmarkEnd w:id="5"/>
      <w:r>
        <w:rPr>
          <w:rFonts w:cs="Arial" w:ascii="Arial" w:hAnsi="Arial"/>
          <w:b/>
          <w:color w:val="1F4E79"/>
          <w:sz w:val="30"/>
        </w:rPr>
        <w:t>6. Éléments de sortie</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4510"/>
        <w:gridCol w:w="2523"/>
        <w:gridCol w:w="1986"/>
      </w:tblGrid>
      <w:tr>
        <w:trPr>
          <w:tblHeader w:val="true"/>
        </w:trPr>
        <w:tc>
          <w:tcPr>
            <w:tcW w:w="4510"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Élément de sortie</w:t>
            </w:r>
          </w:p>
        </w:tc>
        <w:tc>
          <w:tcPr>
            <w:tcW w:w="252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Destination</w:t>
            </w:r>
          </w:p>
        </w:tc>
        <w:tc>
          <w:tcPr>
            <w:tcW w:w="198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Référence</w:t>
            </w:r>
          </w:p>
        </w:tc>
      </w:tr>
      <w:tr>
        <w:trPr/>
        <w:tc>
          <w:tcPr>
            <w:tcW w:w="4510"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Politique SST</w:t>
            </w:r>
          </w:p>
        </w:tc>
        <w:tc>
          <w:tcPr>
            <w:tcW w:w="252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Tous les processus</w:t>
            </w:r>
          </w:p>
        </w:tc>
        <w:tc>
          <w:tcPr>
            <w:tcW w:w="198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PO-SST-001</w:t>
            </w:r>
          </w:p>
        </w:tc>
      </w:tr>
      <w:tr>
        <w:trPr/>
        <w:tc>
          <w:tcPr>
            <w:tcW w:w="4510"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Objectifs SST</w:t>
            </w:r>
          </w:p>
        </w:tc>
        <w:tc>
          <w:tcPr>
            <w:tcW w:w="252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Fonctions concernées</w:t>
            </w:r>
          </w:p>
        </w:tc>
        <w:tc>
          <w:tcPr>
            <w:tcW w:w="198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PR-SST-003</w:t>
            </w:r>
          </w:p>
        </w:tc>
      </w:tr>
      <w:tr>
        <w:trPr/>
        <w:tc>
          <w:tcPr>
            <w:tcW w:w="4510"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Décisions de revue de direction</w:t>
            </w:r>
          </w:p>
        </w:tc>
        <w:tc>
          <w:tcPr>
            <w:tcW w:w="252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Encadrement / travailleurs</w:t>
            </w:r>
          </w:p>
        </w:tc>
        <w:tc>
          <w:tcPr>
            <w:tcW w:w="198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F-SUR-002</w:t>
            </w:r>
          </w:p>
        </w:tc>
      </w:tr>
      <w:tr>
        <w:trPr/>
        <w:tc>
          <w:tcPr>
            <w:tcW w:w="4510"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Ressources allouées</w:t>
            </w:r>
          </w:p>
        </w:tc>
        <w:tc>
          <w:tcPr>
            <w:tcW w:w="252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Processus opérationnels</w:t>
            </w:r>
          </w:p>
        </w:tc>
        <w:tc>
          <w:tcPr>
            <w:tcW w:w="198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w:t>
            </w:r>
          </w:p>
        </w:tc>
      </w:tr>
    </w:tbl>
    <w:p>
      <w:pPr>
        <w:pStyle w:val="Normal"/>
        <w:spacing w:before="0" w:after="40"/>
        <w:rPr/>
      </w:pPr>
      <w:r>
        <w:rPr/>
      </w:r>
    </w:p>
    <w:p>
      <w:pPr>
        <w:pStyle w:val="Heading1"/>
        <w:pBdr>
          <w:bottom w:val="single" w:sz="8" w:space="4" w:color="1F4E79"/>
        </w:pBdr>
        <w:spacing w:lineRule="auto" w:line="240" w:before="320" w:after="120"/>
        <w:rPr/>
      </w:pPr>
      <w:bookmarkStart w:id="6" w:name="__RefHeading___Toc3257_2421208535"/>
      <w:bookmarkEnd w:id="6"/>
      <w:r>
        <w:rPr>
          <w:rFonts w:cs="Arial" w:ascii="Arial" w:hAnsi="Arial"/>
          <w:b/>
          <w:color w:val="1F4E79"/>
          <w:sz w:val="30"/>
        </w:rPr>
        <w:t>7. Activités clés</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541"/>
        <w:gridCol w:w="2345"/>
        <w:gridCol w:w="4689"/>
        <w:gridCol w:w="1443"/>
      </w:tblGrid>
      <w:tr>
        <w:trPr>
          <w:tblHeader w:val="true"/>
        </w:trPr>
        <w:tc>
          <w:tcPr>
            <w:tcW w:w="541"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N°</w:t>
            </w:r>
          </w:p>
        </w:tc>
        <w:tc>
          <w:tcPr>
            <w:tcW w:w="234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Activité</w:t>
            </w:r>
          </w:p>
        </w:tc>
        <w:tc>
          <w:tcPr>
            <w:tcW w:w="4689"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Description</w:t>
            </w:r>
          </w:p>
        </w:tc>
        <w:tc>
          <w:tcPr>
            <w:tcW w:w="144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Réf. ISO</w:t>
            </w:r>
          </w:p>
        </w:tc>
      </w:tr>
      <w:tr>
        <w:trPr/>
        <w:tc>
          <w:tcPr>
            <w:tcW w:w="541"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1</w:t>
            </w:r>
          </w:p>
        </w:tc>
        <w:tc>
          <w:tcPr>
            <w:tcW w:w="234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Analyser le contexte et les attentes des parties intéressées</w:t>
            </w:r>
          </w:p>
        </w:tc>
        <w:tc>
          <w:tcPr>
            <w:tcW w:w="4689"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Le pilote SST, en lien avec la direction, actualise annuellement l'analyse du contexte (§4.1) et cartographie les parties intéressées et leurs attentes SST (§4.2). Cette activité produit une compréhension partagée des enjeux qui alimente la stratégie SST.</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§4.1 / §4.2</w:t>
            </w:r>
          </w:p>
        </w:tc>
      </w:tr>
      <w:tr>
        <w:trPr/>
        <w:tc>
          <w:tcPr>
            <w:tcW w:w="541"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2</w:t>
            </w:r>
          </w:p>
        </w:tc>
        <w:tc>
          <w:tcPr>
            <w:tcW w:w="2345"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Établir et communiquer la politique SST</w:t>
            </w:r>
          </w:p>
        </w:tc>
        <w:tc>
          <w:tcPr>
            <w:tcW w:w="4689"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établit une politique SST (§5.2) formalisant ses engagements. Cette politique est cohérente avec le contexte, tenue à disposition des parties intéressées, communiquée aux travailleurs et revue périodiquement pour rester pertinente.</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§5.2</w:t>
            </w:r>
          </w:p>
        </w:tc>
      </w:tr>
      <w:tr>
        <w:trPr/>
        <w:tc>
          <w:tcPr>
            <w:tcW w:w="541"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3</w:t>
            </w:r>
          </w:p>
        </w:tc>
        <w:tc>
          <w:tcPr>
            <w:tcW w:w="234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Définir les objectifs SST SMART</w:t>
            </w:r>
          </w:p>
        </w:tc>
        <w:tc>
          <w:tcPr>
            <w:tcW w:w="4689"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fixe des objectifs SST (§6.2) déclinés par processus et niveau organisationnel. Les objectifs sont SMART (Spécifiques, Mesurables, Atteignables, Réalistes, Temporels) et intègrent la voix des travailleurs (consultation §5.4 b).</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§5.3</w:t>
            </w:r>
          </w:p>
        </w:tc>
      </w:tr>
      <w:tr>
        <w:trPr/>
        <w:tc>
          <w:tcPr>
            <w:tcW w:w="541"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4</w:t>
            </w:r>
          </w:p>
        </w:tc>
        <w:tc>
          <w:tcPr>
            <w:tcW w:w="2345"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Allouer les ressources</w:t>
            </w:r>
          </w:p>
        </w:tc>
        <w:tc>
          <w:tcPr>
            <w:tcW w:w="4689"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alloue les ressources humaines, matérielles, financières et informationnelles nécessaires au SMSST (§7.1). Les allocations sont proportionnées aux enjeux SST et aux objectifs fixés.</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§7.1</w:t>
            </w:r>
          </w:p>
        </w:tc>
      </w:tr>
      <w:tr>
        <w:trPr/>
        <w:tc>
          <w:tcPr>
            <w:tcW w:w="541"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5</w:t>
            </w:r>
          </w:p>
        </w:tc>
        <w:tc>
          <w:tcPr>
            <w:tcW w:w="234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Piloter la performance SST</w:t>
            </w:r>
          </w:p>
        </w:tc>
        <w:tc>
          <w:tcPr>
            <w:tcW w:w="4689"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Le pilote SST, en lien avec la direction, suit périodiquement les indicateurs SST, analyse les écarts et propose les ajustements. Un tableau de bord synthétique est produit et diffusé aux instances de gouvernance.</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r>
      <w:tr>
        <w:trPr/>
        <w:tc>
          <w:tcPr>
            <w:tcW w:w="541"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6</w:t>
            </w:r>
          </w:p>
        </w:tc>
        <w:tc>
          <w:tcPr>
            <w:tcW w:w="2345"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Conduire la revue de direction</w:t>
            </w:r>
          </w:p>
        </w:tc>
        <w:tc>
          <w:tcPr>
            <w:tcW w:w="4689"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procède à la revue de direction annuelle (§9.3) selon la procédure PR-SUR-003. Elle examine les 12 éléments d'entrée requis, statue sur l'adéquation du SMSST et décide des orientations pour l'année suivante.</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§9.3</w:t>
            </w:r>
          </w:p>
        </w:tc>
      </w:tr>
    </w:tbl>
    <w:p>
      <w:pPr>
        <w:pStyle w:val="Normal"/>
        <w:spacing w:before="0" w:after="40"/>
        <w:rPr/>
      </w:pPr>
      <w:r>
        <w:rPr/>
      </w:r>
    </w:p>
    <w:p>
      <w:pPr>
        <w:pStyle w:val="Normal"/>
        <w:spacing w:before="160" w:after="60"/>
        <w:jc w:val="center"/>
        <w:rPr/>
      </w:pPr>
      <w:r>
        <w:rPr>
          <w:rFonts w:cs="Arial"/>
          <w:b/>
          <w:color w:val="1F4E79"/>
          <w:sz w:val="19"/>
        </w:rPr>
        <w:t>Logigramme du processus — PM-DIR</w:t>
      </w:r>
    </w:p>
    <w:p>
      <w:pPr>
        <w:pStyle w:val="Normal"/>
        <w:spacing w:before="0" w:after="60"/>
        <w:jc w:val="center"/>
        <w:rPr/>
      </w:pPr>
      <w:r>
        <w:rPr/>
        <w:drawing>
          <wp:inline distT="0" distB="0" distL="0" distR="0">
            <wp:extent cx="5400040" cy="724598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5400040" cy="7245985"/>
                    </a:xfrm>
                    <a:prstGeom prst="rect">
                      <a:avLst/>
                    </a:prstGeom>
                  </pic:spPr>
                </pic:pic>
              </a:graphicData>
            </a:graphic>
          </wp:inline>
        </w:drawing>
      </w:r>
    </w:p>
    <w:p>
      <w:pPr>
        <w:pStyle w:val="Normal"/>
        <w:spacing w:before="0" w:after="160"/>
        <w:jc w:val="center"/>
        <w:rPr/>
      </w:pPr>
      <w:r>
        <w:rPr>
          <w:rFonts w:cs="Arial"/>
          <w:i/>
          <w:color w:val="595959"/>
          <w:sz w:val="16"/>
        </w:rPr>
        <w:t>Légende — ovale vert : entrée/sortie · rectangle bleu : activité · losange rose : décision · flèche verte : Oui · flèche rouge : Non.</w:t>
      </w:r>
    </w:p>
    <w:p>
      <w:pPr>
        <w:pStyle w:val="Heading1"/>
        <w:pBdr>
          <w:bottom w:val="single" w:sz="8" w:space="4" w:color="1F4E79"/>
        </w:pBdr>
        <w:spacing w:lineRule="auto" w:line="240" w:before="320" w:after="120"/>
        <w:rPr/>
      </w:pPr>
      <w:bookmarkStart w:id="7" w:name="__RefHeading___Toc3259_2421208535"/>
      <w:bookmarkEnd w:id="7"/>
      <w:r>
        <w:rPr>
          <w:rFonts w:cs="Arial" w:ascii="Arial" w:hAnsi="Arial"/>
          <w:b/>
          <w:color w:val="1F4E79"/>
          <w:sz w:val="30"/>
        </w:rPr>
        <w:t>8. Interactions du processus</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1984"/>
        <w:gridCol w:w="1443"/>
        <w:gridCol w:w="5592"/>
      </w:tblGrid>
      <w:tr>
        <w:trPr>
          <w:tblHeader w:val="true"/>
        </w:trPr>
        <w:tc>
          <w:tcPr>
            <w:tcW w:w="198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De / Vers</w:t>
            </w:r>
          </w:p>
        </w:tc>
        <w:tc>
          <w:tcPr>
            <w:tcW w:w="144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Processus</w:t>
            </w:r>
          </w:p>
        </w:tc>
        <w:tc>
          <w:tcPr>
            <w:tcW w:w="5592"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Nature de l’interaction</w:t>
            </w:r>
          </w:p>
        </w:tc>
      </w:tr>
      <w:tr>
        <w:trPr/>
        <w:tc>
          <w:tcPr>
            <w:tcW w:w="198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 ⇄ PS-RH</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PS-RH</w:t>
            </w:r>
          </w:p>
        </w:tc>
        <w:tc>
          <w:tcPr>
            <w:tcW w:w="559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alloue les ressources humaines et impulse la culture SST.</w:t>
            </w:r>
          </w:p>
        </w:tc>
      </w:tr>
      <w:tr>
        <w:trPr/>
        <w:tc>
          <w:tcPr>
            <w:tcW w:w="198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PM-DIR ⇄ PS-COM</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PS-COM</w:t>
            </w:r>
          </w:p>
        </w:tc>
        <w:tc>
          <w:tcPr>
            <w:tcW w:w="5592"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communique la politique, les objectifs et les décisions.</w:t>
            </w:r>
          </w:p>
        </w:tc>
      </w:tr>
      <w:tr>
        <w:trPr/>
        <w:tc>
          <w:tcPr>
            <w:tcW w:w="198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 ⇄ PC-PREP</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PC-PREP</w:t>
            </w:r>
          </w:p>
        </w:tc>
        <w:tc>
          <w:tcPr>
            <w:tcW w:w="559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valide les IPER majeures et arbitre les investissements de prévention.</w:t>
            </w:r>
          </w:p>
        </w:tc>
      </w:tr>
      <w:tr>
        <w:trPr/>
        <w:tc>
          <w:tcPr>
            <w:tcW w:w="198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PM-DIR ⇄ PC-CHA</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PC-CHA</w:t>
            </w:r>
          </w:p>
        </w:tc>
        <w:tc>
          <w:tcPr>
            <w:tcW w:w="5592"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établit les règles cardinales et fait respecter les règles de sécurité.</w:t>
            </w:r>
          </w:p>
        </w:tc>
      </w:tr>
      <w:tr>
        <w:trPr/>
        <w:tc>
          <w:tcPr>
            <w:tcW w:w="198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 ⇄ PS-ACH</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PS-ACH</w:t>
            </w:r>
          </w:p>
        </w:tc>
        <w:tc>
          <w:tcPr>
            <w:tcW w:w="559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valide la politique achats intégrant les exigences SST.</w:t>
            </w:r>
          </w:p>
        </w:tc>
      </w:tr>
      <w:tr>
        <w:trPr/>
        <w:tc>
          <w:tcPr>
            <w:tcW w:w="198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PM-DIR ⇄ PS-EQU</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PS-EQU</w:t>
            </w:r>
          </w:p>
        </w:tc>
        <w:tc>
          <w:tcPr>
            <w:tcW w:w="5592"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valide les investissements majeurs et politique EPI.</w:t>
            </w:r>
          </w:p>
        </w:tc>
      </w:tr>
      <w:tr>
        <w:trPr/>
        <w:tc>
          <w:tcPr>
            <w:tcW w:w="198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 ⇄ PC-URG</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PC-URG</w:t>
            </w:r>
          </w:p>
        </w:tc>
        <w:tc>
          <w:tcPr>
            <w:tcW w:w="559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préside la cellule de crise en cas de situation majeure.</w:t>
            </w:r>
          </w:p>
        </w:tc>
      </w:tr>
      <w:tr>
        <w:trPr/>
        <w:tc>
          <w:tcPr>
            <w:tcW w:w="198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PM-DIR ⇄ PS-REG</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PS-REG</w:t>
            </w:r>
          </w:p>
        </w:tc>
        <w:tc>
          <w:tcPr>
            <w:tcW w:w="5592"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La direction s'engage à respecter les obligations légales.</w:t>
            </w:r>
          </w:p>
        </w:tc>
      </w:tr>
      <w:tr>
        <w:trPr/>
        <w:tc>
          <w:tcPr>
            <w:tcW w:w="198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PM-DIR ⇄ PM-AME</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PM-AME</w:t>
            </w:r>
          </w:p>
        </w:tc>
        <w:tc>
          <w:tcPr>
            <w:tcW w:w="559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La direction pilote les KPI et statue sur les actions correctives majeures.</w:t>
            </w:r>
          </w:p>
        </w:tc>
      </w:tr>
    </w:tbl>
    <w:p>
      <w:pPr>
        <w:pStyle w:val="Normal"/>
        <w:spacing w:before="0" w:after="40"/>
        <w:rPr/>
      </w:pPr>
      <w:r>
        <w:rPr/>
      </w:r>
    </w:p>
    <w:p>
      <w:pPr>
        <w:pStyle w:val="Heading1"/>
        <w:pBdr>
          <w:bottom w:val="single" w:sz="8" w:space="4" w:color="1F4E79"/>
        </w:pBdr>
        <w:spacing w:lineRule="auto" w:line="240" w:before="320" w:after="120"/>
        <w:rPr/>
      </w:pPr>
      <w:bookmarkStart w:id="8" w:name="__RefHeading___Toc3261_2421208535"/>
      <w:bookmarkEnd w:id="8"/>
      <w:r>
        <w:rPr>
          <w:rFonts w:cs="Arial" w:ascii="Arial" w:hAnsi="Arial"/>
          <w:b/>
          <w:color w:val="1F4E79"/>
          <w:sz w:val="30"/>
        </w:rPr>
        <w:t>9. Indicateurs de performance</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2344"/>
        <w:gridCol w:w="2705"/>
        <w:gridCol w:w="1443"/>
        <w:gridCol w:w="1083"/>
        <w:gridCol w:w="1444"/>
      </w:tblGrid>
      <w:tr>
        <w:trPr>
          <w:tblHeader w:val="true"/>
        </w:trPr>
        <w:tc>
          <w:tcPr>
            <w:tcW w:w="234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Indicateur</w:t>
            </w:r>
          </w:p>
        </w:tc>
        <w:tc>
          <w:tcPr>
            <w:tcW w:w="270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Formule / méthode</w:t>
            </w:r>
          </w:p>
        </w:tc>
        <w:tc>
          <w:tcPr>
            <w:tcW w:w="144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Fréquence</w:t>
            </w:r>
          </w:p>
        </w:tc>
        <w:tc>
          <w:tcPr>
            <w:tcW w:w="108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Cible</w:t>
            </w:r>
          </w:p>
        </w:tc>
        <w:tc>
          <w:tcPr>
            <w:tcW w:w="1444"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Pilote</w:t>
            </w:r>
          </w:p>
        </w:tc>
      </w:tr>
      <w:tr>
        <w:trPr/>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Réalisation des objectifs SST</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Objectifs atteints / objectifs fixés</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Trimestrielle</w:t>
            </w:r>
          </w:p>
        </w:tc>
        <w:tc>
          <w:tcPr>
            <w:tcW w:w="108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&gt; 90 %</w:t>
            </w:r>
          </w:p>
        </w:tc>
        <w:tc>
          <w:tcPr>
            <w:tcW w:w="14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Pilote SST</w:t>
            </w:r>
          </w:p>
        </w:tc>
      </w:tr>
      <w:tr>
        <w:trPr/>
        <w:tc>
          <w:tcPr>
            <w:tcW w:w="234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Tenue des revues de direction</w:t>
            </w:r>
          </w:p>
        </w:tc>
        <w:tc>
          <w:tcPr>
            <w:tcW w:w="2705"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Revues tenues / planifiées</w:t>
            </w:r>
          </w:p>
        </w:tc>
        <w:tc>
          <w:tcPr>
            <w:tcW w:w="144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Annuelle</w:t>
            </w:r>
          </w:p>
        </w:tc>
        <w:tc>
          <w:tcPr>
            <w:tcW w:w="1083"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100 %</w:t>
            </w:r>
          </w:p>
        </w:tc>
        <w:tc>
          <w:tcPr>
            <w:tcW w:w="1444"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Direction</w:t>
            </w:r>
          </w:p>
        </w:tc>
      </w:tr>
      <w:tr>
        <w:trPr/>
        <w:tc>
          <w:tcPr>
            <w:tcW w:w="23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Couverture de la consultation</w:t>
            </w:r>
          </w:p>
        </w:tc>
        <w:tc>
          <w:tcPr>
            <w:tcW w:w="27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Sujets consultés / sujets requis</w:t>
            </w:r>
          </w:p>
        </w:tc>
        <w:tc>
          <w:tcPr>
            <w:tcW w:w="144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Semestrielle</w:t>
            </w:r>
          </w:p>
        </w:tc>
        <w:tc>
          <w:tcPr>
            <w:tcW w:w="108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100 %</w:t>
            </w:r>
          </w:p>
        </w:tc>
        <w:tc>
          <w:tcPr>
            <w:tcW w:w="1444"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Pilote SST</w:t>
            </w:r>
          </w:p>
        </w:tc>
      </w:tr>
    </w:tbl>
    <w:p>
      <w:pPr>
        <w:pStyle w:val="Normal"/>
        <w:spacing w:before="0" w:after="40"/>
        <w:rPr/>
      </w:pPr>
      <w:r>
        <w:rPr/>
      </w:r>
    </w:p>
    <w:p>
      <w:pPr>
        <w:pStyle w:val="Heading1"/>
        <w:pBdr>
          <w:bottom w:val="single" w:sz="8" w:space="4" w:color="1F4E79"/>
        </w:pBdr>
        <w:spacing w:lineRule="auto" w:line="240" w:before="320" w:after="120"/>
        <w:rPr/>
      </w:pPr>
      <w:bookmarkStart w:id="9" w:name="__RefHeading___Toc3263_2421208535"/>
      <w:bookmarkEnd w:id="9"/>
      <w:r>
        <w:rPr>
          <w:rFonts w:cs="Arial" w:ascii="Arial" w:hAnsi="Arial"/>
          <w:b/>
          <w:color w:val="1F4E79"/>
          <w:sz w:val="30"/>
        </w:rPr>
        <w:t>10. Risques et points de maîtrise</w:t>
      </w:r>
    </w:p>
    <w:tbl>
      <w:tblPr>
        <w:tblW w:w="9020"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2706"/>
        <w:gridCol w:w="2706"/>
        <w:gridCol w:w="3608"/>
      </w:tblGrid>
      <w:tr>
        <w:trPr>
          <w:tblHeader w:val="true"/>
        </w:trPr>
        <w:tc>
          <w:tcPr>
            <w:tcW w:w="270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Risque</w:t>
            </w:r>
          </w:p>
        </w:tc>
        <w:tc>
          <w:tcPr>
            <w:tcW w:w="270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Impact</w:t>
            </w:r>
          </w:p>
        </w:tc>
        <w:tc>
          <w:tcPr>
            <w:tcW w:w="3608"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Maîtrise / mesure</w:t>
            </w:r>
          </w:p>
        </w:tc>
      </w:tr>
      <w:tr>
        <w:trPr/>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Engagement insuffisant de la direction</w:t>
            </w:r>
          </w:p>
        </w:tc>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Démobilisation, perte de crédibilité</w:t>
            </w:r>
          </w:p>
        </w:tc>
        <w:tc>
          <w:tcPr>
            <w:tcW w:w="3608"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Leadership visible ; opportunité : culture SST renforcée</w:t>
            </w:r>
          </w:p>
        </w:tc>
      </w:tr>
      <w:tr>
        <w:trPr/>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Objectifs non suivis</w:t>
            </w:r>
          </w:p>
        </w:tc>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Stagnation de la performance</w:t>
            </w:r>
          </w:p>
        </w:tc>
        <w:tc>
          <w:tcPr>
            <w:tcW w:w="3608"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Suivi au tableau de bord et en revue</w:t>
            </w:r>
          </w:p>
        </w:tc>
      </w:tr>
      <w:tr>
        <w:trPr/>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Ressources inadaptées</w:t>
            </w:r>
          </w:p>
        </w:tc>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Actions non réalisées</w:t>
            </w:r>
          </w:p>
        </w:tc>
        <w:tc>
          <w:tcPr>
            <w:tcW w:w="3608"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Arbitrage des ressources en revue de direction</w:t>
            </w:r>
          </w:p>
        </w:tc>
      </w:tr>
      <w:tr>
        <w:trPr/>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Politique déconnectée du contexte</w:t>
            </w:r>
          </w:p>
        </w:tc>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Système non pertinent</w:t>
            </w:r>
          </w:p>
        </w:tc>
        <w:tc>
          <w:tcPr>
            <w:tcW w:w="3608"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Revue du contexte à chaque cycle</w:t>
            </w:r>
          </w:p>
        </w:tc>
      </w:tr>
    </w:tbl>
    <w:p>
      <w:pPr>
        <w:pStyle w:val="Normal"/>
        <w:spacing w:before="0" w:after="40"/>
        <w:rPr/>
      </w:pPr>
      <w:r>
        <w:rPr/>
      </w:r>
    </w:p>
    <w:p>
      <w:pPr>
        <w:pStyle w:val="Heading1"/>
        <w:pBdr>
          <w:bottom w:val="single" w:sz="8" w:space="4" w:color="1F4E79"/>
        </w:pBdr>
        <w:spacing w:lineRule="auto" w:line="240" w:before="320" w:after="120"/>
        <w:rPr/>
      </w:pPr>
      <w:bookmarkStart w:id="10" w:name="__RefHeading___Toc3265_2421208535"/>
      <w:bookmarkEnd w:id="10"/>
      <w:r>
        <w:rPr>
          <w:rFonts w:cs="Arial" w:ascii="Arial" w:hAnsi="Arial"/>
          <w:b/>
          <w:color w:val="1F4E79"/>
          <w:sz w:val="30"/>
        </w:rPr>
        <w:t>11. Documents et enregistrements associés</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4147"/>
        <w:gridCol w:w="2166"/>
        <w:gridCol w:w="2706"/>
      </w:tblGrid>
      <w:tr>
        <w:trPr>
          <w:tblHeader w:val="true"/>
        </w:trPr>
        <w:tc>
          <w:tcPr>
            <w:tcW w:w="4147"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Titre du document</w:t>
            </w:r>
          </w:p>
        </w:tc>
        <w:tc>
          <w:tcPr>
            <w:tcW w:w="216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Référence</w:t>
            </w:r>
          </w:p>
        </w:tc>
        <w:tc>
          <w:tcPr>
            <w:tcW w:w="270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Archivage / type</w:t>
            </w:r>
          </w:p>
        </w:tc>
      </w:tr>
      <w:tr>
        <w:trPr/>
        <w:tc>
          <w:tcPr>
            <w:tcW w:w="414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Politique SST</w:t>
            </w:r>
          </w:p>
        </w:tc>
        <w:tc>
          <w:tcPr>
            <w:tcW w:w="216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PO-SST-001</w:t>
            </w:r>
          </w:p>
        </w:tc>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Politique</w:t>
            </w:r>
          </w:p>
        </w:tc>
      </w:tr>
      <w:tr>
        <w:trPr/>
        <w:tc>
          <w:tcPr>
            <w:tcW w:w="4147"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Manuel SMSST</w:t>
            </w:r>
          </w:p>
        </w:tc>
        <w:tc>
          <w:tcPr>
            <w:tcW w:w="216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MAN-SST-001</w:t>
            </w:r>
          </w:p>
        </w:tc>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Manuel</w:t>
            </w:r>
          </w:p>
        </w:tc>
      </w:tr>
      <w:tr>
        <w:trPr/>
        <w:tc>
          <w:tcPr>
            <w:tcW w:w="414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Contexte &amp; parties intéressées</w:t>
            </w:r>
          </w:p>
        </w:tc>
        <w:tc>
          <w:tcPr>
            <w:tcW w:w="216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F-SST-001</w:t>
            </w:r>
          </w:p>
        </w:tc>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Registre (Excel)</w:t>
            </w:r>
          </w:p>
        </w:tc>
      </w:tr>
      <w:tr>
        <w:trPr/>
        <w:tc>
          <w:tcPr>
            <w:tcW w:w="4147"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Objectifs SST</w:t>
            </w:r>
          </w:p>
        </w:tc>
        <w:tc>
          <w:tcPr>
            <w:tcW w:w="216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PR-SST-003</w:t>
            </w:r>
          </w:p>
        </w:tc>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Procédure</w:t>
            </w:r>
          </w:p>
        </w:tc>
      </w:tr>
      <w:tr>
        <w:trPr/>
        <w:tc>
          <w:tcPr>
            <w:tcW w:w="414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Revue de direction</w:t>
            </w:r>
          </w:p>
        </w:tc>
        <w:tc>
          <w:tcPr>
            <w:tcW w:w="216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PR-SUR-003</w:t>
            </w:r>
          </w:p>
        </w:tc>
        <w:tc>
          <w:tcPr>
            <w:tcW w:w="270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Procédure</w:t>
            </w:r>
          </w:p>
        </w:tc>
      </w:tr>
      <w:tr>
        <w:trPr/>
        <w:tc>
          <w:tcPr>
            <w:tcW w:w="4147"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left"/>
              <w:rPr/>
            </w:pPr>
            <w:r>
              <w:rPr>
                <w:rFonts w:cs="Arial"/>
                <w:b w:val="false"/>
                <w:i w:val="false"/>
                <w:color w:val="222222"/>
                <w:sz w:val="19"/>
              </w:rPr>
              <w:t>Compte-rendu de revue</w:t>
            </w:r>
          </w:p>
        </w:tc>
        <w:tc>
          <w:tcPr>
            <w:tcW w:w="216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F-SUR-002</w:t>
            </w:r>
          </w:p>
        </w:tc>
        <w:tc>
          <w:tcPr>
            <w:tcW w:w="2706" w:type="dxa"/>
            <w:tcBorders>
              <w:top w:val="single" w:sz="6" w:space="0" w:color="BDD7EE"/>
              <w:left w:val="single" w:sz="6" w:space="0" w:color="BDD7EE"/>
              <w:bottom w:val="single" w:sz="6" w:space="0" w:color="BDD7EE"/>
              <w:right w:val="single" w:sz="6" w:space="0" w:color="BDD7EE"/>
            </w:tcBorders>
            <w:shd w:color="auto" w:fill="F2F6FB" w:val="clear"/>
            <w:vAlign w:val="center"/>
          </w:tcPr>
          <w:p>
            <w:pPr>
              <w:pStyle w:val="Normal"/>
              <w:spacing w:lineRule="auto" w:line="242" w:before="20" w:after="20"/>
              <w:jc w:val="center"/>
              <w:rPr/>
            </w:pPr>
            <w:r>
              <w:rPr>
                <w:rFonts w:cs="Arial"/>
                <w:b w:val="false"/>
                <w:i w:val="false"/>
                <w:color w:val="222222"/>
                <w:sz w:val="19"/>
              </w:rPr>
              <w:t>Formulaire (Word)</w:t>
            </w:r>
          </w:p>
        </w:tc>
      </w:tr>
    </w:tbl>
    <w:p>
      <w:pPr>
        <w:pStyle w:val="Normal"/>
        <w:spacing w:before="0" w:after="40"/>
        <w:rPr/>
      </w:pPr>
      <w:r>
        <w:rPr/>
      </w:r>
    </w:p>
    <w:p>
      <w:pPr>
        <w:pStyle w:val="Heading1"/>
        <w:pBdr>
          <w:bottom w:val="single" w:sz="8" w:space="4" w:color="1F4E79"/>
        </w:pBdr>
        <w:spacing w:lineRule="auto" w:line="240" w:before="320" w:after="120"/>
        <w:rPr/>
      </w:pPr>
      <w:bookmarkStart w:id="11" w:name="__RefHeading___Toc3267_2421208535"/>
      <w:bookmarkEnd w:id="11"/>
      <w:r>
        <w:rPr>
          <w:rFonts w:cs="Arial" w:ascii="Arial" w:hAnsi="Arial"/>
          <w:b/>
          <w:color w:val="1F4E79"/>
          <w:sz w:val="30"/>
        </w:rPr>
        <w:t>12. Historique des révisions</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900"/>
        <w:gridCol w:w="1805"/>
        <w:gridCol w:w="2165"/>
        <w:gridCol w:w="4148"/>
      </w:tblGrid>
      <w:tr>
        <w:trPr>
          <w:tblHeader w:val="true"/>
        </w:trPr>
        <w:tc>
          <w:tcPr>
            <w:tcW w:w="900"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Rév.</w:t>
            </w:r>
          </w:p>
        </w:tc>
        <w:tc>
          <w:tcPr>
            <w:tcW w:w="180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Date</w:t>
            </w:r>
          </w:p>
        </w:tc>
        <w:tc>
          <w:tcPr>
            <w:tcW w:w="2165"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Auteur</w:t>
            </w:r>
          </w:p>
        </w:tc>
        <w:tc>
          <w:tcPr>
            <w:tcW w:w="4148"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Description de la modification</w:t>
            </w:r>
          </w:p>
        </w:tc>
      </w:tr>
      <w:tr>
        <w:trPr/>
        <w:tc>
          <w:tcPr>
            <w:tcW w:w="900"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1.0</w:t>
            </w:r>
          </w:p>
        </w:tc>
        <w:tc>
          <w:tcPr>
            <w:tcW w:w="180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Juillet 2026</w:t>
            </w:r>
          </w:p>
        </w:tc>
        <w:tc>
          <w:tcPr>
            <w:tcW w:w="2165"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[Nom organisation]</w:t>
            </w:r>
          </w:p>
        </w:tc>
        <w:tc>
          <w:tcPr>
            <w:tcW w:w="4148"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Création initiale. Fiche de processus au format approche processus (§4.4).</w:t>
            </w:r>
          </w:p>
        </w:tc>
      </w:tr>
    </w:tbl>
    <w:p>
      <w:pPr>
        <w:pStyle w:val="Normal"/>
        <w:spacing w:before="0" w:after="40"/>
        <w:rPr/>
      </w:pPr>
      <w:r>
        <w:rPr/>
      </w:r>
    </w:p>
    <w:p>
      <w:pPr>
        <w:pStyle w:val="Heading1"/>
        <w:pBdr>
          <w:bottom w:val="single" w:sz="8" w:space="4" w:color="1F4E79"/>
        </w:pBdr>
        <w:spacing w:lineRule="auto" w:line="240" w:before="320" w:after="120"/>
        <w:rPr/>
      </w:pPr>
      <w:bookmarkStart w:id="12" w:name="__RefHeading___Toc3269_2421208535"/>
      <w:bookmarkEnd w:id="12"/>
      <w:r>
        <w:rPr>
          <w:rFonts w:cs="Arial" w:ascii="Arial" w:hAnsi="Arial"/>
          <w:b/>
          <w:color w:val="1F4E79"/>
          <w:sz w:val="30"/>
        </w:rPr>
        <w:t>13. Approbation du document</w:t>
      </w:r>
    </w:p>
    <w:p>
      <w:pPr>
        <w:pStyle w:val="Normal"/>
        <w:spacing w:lineRule="auto" w:line="259" w:before="0" w:after="80"/>
        <w:jc w:val="both"/>
        <w:rPr/>
      </w:pPr>
      <w:r>
        <w:rPr>
          <w:rFonts w:cs="Arial"/>
          <w:i w:val="false"/>
          <w:color w:val="222222"/>
          <w:sz w:val="21"/>
        </w:rPr>
        <w:t>Ce document a été vérifié et approuvé par les signataires autorisés ci-dessous.</w:t>
      </w:r>
    </w:p>
    <w:tbl>
      <w:tblPr>
        <w:tblW w:w="9019" w:type="dxa"/>
        <w:jc w:val="center"/>
        <w:tblInd w:w="0" w:type="dxa"/>
        <w:tblLayout w:type="fixed"/>
        <w:tblCellMar>
          <w:top w:w="40" w:type="dxa"/>
          <w:left w:w="90" w:type="dxa"/>
          <w:bottom w:w="40" w:type="dxa"/>
          <w:right w:w="90" w:type="dxa"/>
        </w:tblCellMar>
        <w:tblLook w:val="04a0" w:noHBand="0" w:noVBand="1" w:firstColumn="1" w:lastRow="0" w:lastColumn="0" w:firstRow="1"/>
      </w:tblPr>
      <w:tblGrid>
        <w:gridCol w:w="2163"/>
        <w:gridCol w:w="2707"/>
        <w:gridCol w:w="2346"/>
        <w:gridCol w:w="1802"/>
      </w:tblGrid>
      <w:tr>
        <w:trPr>
          <w:tblHeader w:val="true"/>
        </w:trPr>
        <w:tc>
          <w:tcPr>
            <w:tcW w:w="2163"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Rôle</w:t>
            </w:r>
          </w:p>
        </w:tc>
        <w:tc>
          <w:tcPr>
            <w:tcW w:w="2707"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Nom</w:t>
            </w:r>
          </w:p>
        </w:tc>
        <w:tc>
          <w:tcPr>
            <w:tcW w:w="2346"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Signature</w:t>
            </w:r>
          </w:p>
        </w:tc>
        <w:tc>
          <w:tcPr>
            <w:tcW w:w="1802" w:type="dxa"/>
            <w:tcBorders>
              <w:top w:val="single" w:sz="6" w:space="0" w:color="BDD7EE"/>
              <w:left w:val="single" w:sz="6" w:space="0" w:color="BDD7EE"/>
              <w:bottom w:val="single" w:sz="6" w:space="0" w:color="BDD7EE"/>
              <w:right w:val="single" w:sz="6" w:space="0" w:color="BDD7EE"/>
            </w:tcBorders>
            <w:shd w:color="auto" w:fill="DDEBF7" w:val="clear"/>
            <w:vAlign w:val="center"/>
          </w:tcPr>
          <w:p>
            <w:pPr>
              <w:pStyle w:val="Normal"/>
              <w:spacing w:lineRule="auto" w:line="242" w:before="20" w:after="20"/>
              <w:jc w:val="center"/>
              <w:rPr/>
            </w:pPr>
            <w:r>
              <w:rPr>
                <w:rFonts w:cs="Arial"/>
                <w:b/>
                <w:i w:val="false"/>
                <w:color w:val="1F4E79"/>
                <w:sz w:val="19"/>
              </w:rPr>
              <w:t>Date</w:t>
            </w:r>
          </w:p>
        </w:tc>
      </w:tr>
      <w:tr>
        <w:trPr/>
        <w:tc>
          <w:tcPr>
            <w:tcW w:w="216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Rédacteur</w:t>
            </w:r>
          </w:p>
        </w:tc>
        <w:tc>
          <w:tcPr>
            <w:tcW w:w="270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[Nom organisation]</w:t>
            </w:r>
          </w:p>
        </w:tc>
        <w:tc>
          <w:tcPr>
            <w:tcW w:w="234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c>
          <w:tcPr>
            <w:tcW w:w="180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r>
      <w:tr>
        <w:trPr/>
        <w:tc>
          <w:tcPr>
            <w:tcW w:w="216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Vérificateur</w:t>
            </w:r>
          </w:p>
        </w:tc>
        <w:tc>
          <w:tcPr>
            <w:tcW w:w="270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[À COMPLÉTER]</w:t>
            </w:r>
          </w:p>
        </w:tc>
        <w:tc>
          <w:tcPr>
            <w:tcW w:w="234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c>
          <w:tcPr>
            <w:tcW w:w="180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r>
      <w:tr>
        <w:trPr/>
        <w:tc>
          <w:tcPr>
            <w:tcW w:w="2163"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left"/>
              <w:rPr/>
            </w:pPr>
            <w:r>
              <w:rPr>
                <w:rFonts w:cs="Arial"/>
                <w:b w:val="false"/>
                <w:i w:val="false"/>
                <w:color w:val="222222"/>
                <w:sz w:val="19"/>
              </w:rPr>
              <w:t>Approbateur</w:t>
            </w:r>
          </w:p>
        </w:tc>
        <w:tc>
          <w:tcPr>
            <w:tcW w:w="2707"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[À COMPLÉTER]</w:t>
            </w:r>
          </w:p>
        </w:tc>
        <w:tc>
          <w:tcPr>
            <w:tcW w:w="2346"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c>
          <w:tcPr>
            <w:tcW w:w="1802" w:type="dxa"/>
            <w:tcBorders>
              <w:top w:val="single" w:sz="6" w:space="0" w:color="BDD7EE"/>
              <w:left w:val="single" w:sz="6" w:space="0" w:color="BDD7EE"/>
              <w:bottom w:val="single" w:sz="6" w:space="0" w:color="BDD7EE"/>
              <w:right w:val="single" w:sz="6" w:space="0" w:color="BDD7EE"/>
            </w:tcBorders>
            <w:vAlign w:val="center"/>
          </w:tcPr>
          <w:p>
            <w:pPr>
              <w:pStyle w:val="Normal"/>
              <w:spacing w:lineRule="auto" w:line="242" w:before="20" w:after="20"/>
              <w:jc w:val="center"/>
              <w:rPr/>
            </w:pPr>
            <w:r>
              <w:rPr>
                <w:rFonts w:cs="Arial"/>
                <w:b w:val="false"/>
                <w:i w:val="false"/>
                <w:color w:val="222222"/>
                <w:sz w:val="19"/>
              </w:rPr>
              <w:t>—</w:t>
            </w:r>
          </w:p>
        </w:tc>
      </w:tr>
    </w:tbl>
    <w:p>
      <w:pPr>
        <w:pStyle w:val="Normal"/>
        <w:spacing w:before="0" w:after="40"/>
        <w:rPr/>
      </w:pPr>
      <w:r>
        <w:rPr/>
      </w:r>
    </w:p>
    <w:p>
      <w:pPr>
        <w:pStyle w:val="Normal"/>
        <w:spacing w:before="160" w:after="200"/>
        <w:rPr/>
      </w:pPr>
      <w:r>
        <w:rPr>
          <w:rFonts w:cs="Arial"/>
          <w:i/>
          <w:color w:val="595959"/>
          <w:sz w:val="16"/>
        </w:rPr>
        <w:t>Document contrôlé. Toute copie imprimée est réputée non maîtrisée — vérifiez la version en vigueur.</w:t>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247" w:right="1247" w:gutter="0" w:header="624" w:top="1247" w:footer="567" w:bottom="124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mbria">
    <w:charset w:val="01"/>
    <w:family w:val="roman"/>
    <w:pitch w:val="variable"/>
  </w:font>
  <w:font w:name="Arial">
    <w:charset w:val="01"/>
    <w:family w:val="roman"/>
    <w:pitch w:val="variable"/>
  </w:font>
  <w:font w:name="Calibri">
    <w:charset w:val="01"/>
    <w:family w:val="roman"/>
    <w:pitch w:val="variable"/>
  </w:font>
  <w:font w:name="Courier">
    <w:altName w:val="Courier New"/>
    <w:charset w:val="01"/>
    <w:family w:val="roman"/>
    <w:pitch w:val="variable"/>
  </w:font>
  <w:font w:name="Liberation Sans">
    <w:altName w:val="Arial"/>
    <w:charset w:val="01"/>
    <w:family w:val="roman"/>
    <w:pitch w:val="variable"/>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4" w:color="BDD7EE"/>
      </w:pBdr>
      <w:spacing w:before="80" w:after="0"/>
      <w:jc w:val="center"/>
      <w:rPr/>
    </w:pPr>
    <w:r>
      <w:rPr>
        <w:rFonts w:cs="Arial"/>
        <w:color w:val="595959"/>
        <w:sz w:val="16"/>
      </w:rPr>
      <w:t xml:space="preserve">PM-DIR   ·   Confidentiel   ·   hem-consulting.com   ·   Page </w:t>
    </w:r>
    <w:r>
      <w:rPr/>
      <w:fldChar w:fldCharType="begin"/>
    </w:r>
    <w:r>
      <w:rPr/>
      <w:instrText xml:space="preserve"> PAGE </w:instrText>
    </w:r>
    <w:r>
      <w:rPr/>
      <w:fldChar w:fldCharType="separate"/>
    </w:r>
    <w:r>
      <w:rPr/>
      <w:t>7</w:t>
    </w:r>
    <w:r>
      <w:rPr/>
      <w:fldChar w:fldCharType="end"/>
    </w:r>
    <w:r>
      <w:rPr>
        <w:rFonts w:cs="Arial"/>
        <w:color w:val="595959"/>
        <w:sz w:val="16"/>
      </w:rPr>
      <w:t xml:space="preserve"> / </w:t>
    </w:r>
    <w:r>
      <w:rPr/>
      <w:fldChar w:fldCharType="begin"/>
    </w:r>
    <w:r>
      <w:rPr/>
      <w:instrText xml:space="preserve"> NUMPAGES </w:instrText>
    </w:r>
    <w:r>
      <w:rPr/>
      <w:fldChar w:fldCharType="separate"/>
    </w:r>
    <w:r>
      <w:rPr/>
      <w:t>7</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pBdr>
        <w:top w:val="single" w:sz="6" w:space="4" w:color="BDD7EE"/>
      </w:pBdr>
      <w:spacing w:before="80" w:after="0"/>
      <w:jc w:val="center"/>
      <w:rPr/>
    </w:pPr>
    <w:r>
      <w:rPr>
        <w:rFonts w:cs="Arial"/>
        <w:color w:val="595959"/>
        <w:sz w:val="16"/>
      </w:rPr>
      <w:t xml:space="preserve">PM-DIR   ·   Confidentiel   ·   hem-consulting.com   ·   Page </w:t>
    </w:r>
    <w:r>
      <w:rPr/>
      <w:fldChar w:fldCharType="begin"/>
    </w:r>
    <w:r>
      <w:rPr/>
      <w:instrText xml:space="preserve"> PAGE </w:instrText>
    </w:r>
    <w:r>
      <w:rPr/>
      <w:fldChar w:fldCharType="separate"/>
    </w:r>
    <w:r>
      <w:rPr/>
      <w:t>7</w:t>
    </w:r>
    <w:r>
      <w:rPr/>
      <w:fldChar w:fldCharType="end"/>
    </w:r>
    <w:r>
      <w:rPr>
        <w:rFonts w:cs="Arial"/>
        <w:color w:val="595959"/>
        <w:sz w:val="16"/>
      </w:rPr>
      <w:t xml:space="preserve"> / </w:t>
    </w:r>
    <w:r>
      <w:rPr/>
      <w:fldChar w:fldCharType="begin"/>
    </w:r>
    <w:r>
      <w:rPr/>
      <w:instrText xml:space="preserve"> NUMPAGES </w:instrText>
    </w:r>
    <w:r>
      <w:rPr/>
      <w:fldChar w:fldCharType="separate"/>
    </w:r>
    <w:r>
      <w:rPr/>
      <w:t>7</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0" w:type="dxa"/>
      <w:jc w:val="center"/>
      <w:tblInd w:w="0" w:type="dxa"/>
      <w:tblLayout w:type="fixed"/>
      <w:tblCellMar>
        <w:top w:w="40" w:type="dxa"/>
        <w:left w:w="7" w:type="dxa"/>
        <w:bottom w:w="40" w:type="dxa"/>
        <w:right w:w="83" w:type="dxa"/>
      </w:tblCellMar>
      <w:tblLook w:val="04a0" w:noHBand="0" w:noVBand="1" w:firstColumn="1" w:lastRow="0" w:lastColumn="0" w:firstRow="1"/>
    </w:tblPr>
    <w:tblGrid>
      <w:gridCol w:w="4961"/>
      <w:gridCol w:w="4058"/>
    </w:tblGrid>
    <w:tr>
      <w:trPr/>
      <w:tc>
        <w:tcPr>
          <w:tcW w:w="4961" w:type="dxa"/>
          <w:tcBorders>
            <w:top w:val="single" w:sz="6" w:space="0" w:color="FFFFFF"/>
            <w:left w:val="single" w:sz="6" w:space="0" w:color="FFFFFF"/>
            <w:bottom w:val="single" w:sz="8" w:space="0" w:color="1F4E79"/>
            <w:right w:val="single" w:sz="6" w:space="0" w:color="FFFFFF"/>
          </w:tcBorders>
          <w:vAlign w:val="center"/>
        </w:tcPr>
        <w:p>
          <w:pPr>
            <w:pStyle w:val="Normal"/>
            <w:spacing w:before="0" w:after="0"/>
            <w:rPr/>
          </w:pPr>
          <w:r>
            <w:rPr>
              <w:rFonts w:cs="Arial"/>
              <w:b/>
              <w:color w:val="595959"/>
              <w:sz w:val="18"/>
            </w:rPr>
            <w:t>[Votre Logo Ici]</w:t>
          </w:r>
        </w:p>
        <w:p>
          <w:pPr>
            <w:pStyle w:val="Normal"/>
            <w:spacing w:before="0" w:after="0"/>
            <w:rPr/>
          </w:pPr>
          <w:r>
            <w:rPr>
              <w:rFonts w:cs="Arial"/>
              <w:color w:val="595959"/>
              <w:sz w:val="17"/>
            </w:rPr>
            <w:t>[Nom organisation]</w:t>
          </w:r>
        </w:p>
      </w:tc>
      <w:tc>
        <w:tcPr>
          <w:tcW w:w="4058" w:type="dxa"/>
          <w:tcBorders>
            <w:top w:val="single" w:sz="6" w:space="0" w:color="FFFFFF"/>
            <w:left w:val="single" w:sz="6" w:space="0" w:color="FFFFFF"/>
            <w:bottom w:val="single" w:sz="8" w:space="0" w:color="1F4E79"/>
            <w:right w:val="single" w:sz="6" w:space="0" w:color="FFFFFF"/>
          </w:tcBorders>
          <w:tcMar>
            <w:left w:w="90" w:type="dxa"/>
            <w:right w:w="0" w:type="dxa"/>
          </w:tcMar>
          <w:vAlign w:val="center"/>
        </w:tcPr>
        <w:p>
          <w:pPr>
            <w:pStyle w:val="Normal"/>
            <w:spacing w:before="0" w:after="0"/>
            <w:jc w:val="right"/>
            <w:rPr/>
          </w:pPr>
          <w:r>
            <w:rPr/>
            <w:drawing>
              <wp:inline distT="0" distB="0" distL="0" distR="0">
                <wp:extent cx="259080" cy="259080"/>
                <wp:effectExtent l="0" t="0" r="0" b="0"/>
                <wp:docPr id="2"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descr=""/>
                        <pic:cNvPicPr>
                          <a:picLocks noChangeAspect="1" noChangeArrowheads="1"/>
                        </pic:cNvPicPr>
                      </pic:nvPicPr>
                      <pic:blipFill>
                        <a:blip r:embed="rId1"/>
                        <a:stretch>
                          <a:fillRect/>
                        </a:stretch>
                      </pic:blipFill>
                      <pic:spPr bwMode="auto">
                        <a:xfrm>
                          <a:off x="0" y="0"/>
                          <a:ext cx="259080" cy="259080"/>
                        </a:xfrm>
                        <a:prstGeom prst="rect">
                          <a:avLst/>
                        </a:prstGeom>
                      </pic:spPr>
                    </pic:pic>
                  </a:graphicData>
                </a:graphic>
              </wp:inline>
            </w:drawing>
          </w:r>
        </w:p>
        <w:p>
          <w:pPr>
            <w:pStyle w:val="Normal"/>
            <w:spacing w:before="0" w:after="0"/>
            <w:jc w:val="right"/>
            <w:rPr/>
          </w:pPr>
          <w:r>
            <w:rPr>
              <w:rFonts w:cs="Arial"/>
              <w:i/>
              <w:color w:val="2E75B6"/>
              <w:sz w:val="16"/>
            </w:rPr>
            <w:t>Édité par HEMC</w:t>
          </w:r>
        </w:p>
      </w:tc>
    </w:tr>
  </w:tbl>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9020" w:type="dxa"/>
      <w:jc w:val="center"/>
      <w:tblInd w:w="0" w:type="dxa"/>
      <w:tblLayout w:type="fixed"/>
      <w:tblCellMar>
        <w:top w:w="40" w:type="dxa"/>
        <w:left w:w="7" w:type="dxa"/>
        <w:bottom w:w="40" w:type="dxa"/>
        <w:right w:w="83" w:type="dxa"/>
      </w:tblCellMar>
      <w:tblLook w:val="04a0" w:noHBand="0" w:noVBand="1" w:firstColumn="1" w:lastRow="0" w:lastColumn="0" w:firstRow="1"/>
    </w:tblPr>
    <w:tblGrid>
      <w:gridCol w:w="4961"/>
      <w:gridCol w:w="4058"/>
    </w:tblGrid>
    <w:tr>
      <w:trPr/>
      <w:tc>
        <w:tcPr>
          <w:tcW w:w="4961" w:type="dxa"/>
          <w:tcBorders>
            <w:top w:val="single" w:sz="6" w:space="0" w:color="FFFFFF"/>
            <w:left w:val="single" w:sz="6" w:space="0" w:color="FFFFFF"/>
            <w:bottom w:val="single" w:sz="8" w:space="0" w:color="1F4E79"/>
            <w:right w:val="single" w:sz="6" w:space="0" w:color="FFFFFF"/>
          </w:tcBorders>
          <w:vAlign w:val="center"/>
        </w:tcPr>
        <w:p>
          <w:pPr>
            <w:pStyle w:val="Normal"/>
            <w:spacing w:before="0" w:after="0"/>
            <w:rPr/>
          </w:pPr>
          <w:r>
            <w:rPr>
              <w:rFonts w:cs="Arial"/>
              <w:b/>
              <w:color w:val="595959"/>
              <w:sz w:val="18"/>
            </w:rPr>
            <w:t>[Votre Logo Ici]</w:t>
          </w:r>
        </w:p>
        <w:p>
          <w:pPr>
            <w:pStyle w:val="Normal"/>
            <w:spacing w:before="0" w:after="0"/>
            <w:rPr/>
          </w:pPr>
          <w:r>
            <w:rPr>
              <w:rFonts w:cs="Arial"/>
              <w:color w:val="595959"/>
              <w:sz w:val="17"/>
            </w:rPr>
            <w:t>[Nom organisation]</w:t>
          </w:r>
        </w:p>
      </w:tc>
      <w:tc>
        <w:tcPr>
          <w:tcW w:w="4058" w:type="dxa"/>
          <w:tcBorders>
            <w:top w:val="single" w:sz="6" w:space="0" w:color="FFFFFF"/>
            <w:left w:val="single" w:sz="6" w:space="0" w:color="FFFFFF"/>
            <w:bottom w:val="single" w:sz="8" w:space="0" w:color="1F4E79"/>
            <w:right w:val="single" w:sz="6" w:space="0" w:color="FFFFFF"/>
          </w:tcBorders>
          <w:tcMar>
            <w:left w:w="90" w:type="dxa"/>
            <w:right w:w="0" w:type="dxa"/>
          </w:tcMar>
          <w:vAlign w:val="center"/>
        </w:tcPr>
        <w:p>
          <w:pPr>
            <w:pStyle w:val="Normal"/>
            <w:spacing w:before="0" w:after="0"/>
            <w:jc w:val="right"/>
            <w:rPr/>
          </w:pPr>
          <w:r>
            <w:rPr/>
            <w:drawing>
              <wp:inline distT="0" distB="0" distL="0" distR="0">
                <wp:extent cx="259080" cy="259080"/>
                <wp:effectExtent l="0" t="0" r="0" b="0"/>
                <wp:docPr id="3" name="Image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descr=""/>
                        <pic:cNvPicPr>
                          <a:picLocks noChangeAspect="1" noChangeArrowheads="1"/>
                        </pic:cNvPicPr>
                      </pic:nvPicPr>
                      <pic:blipFill>
                        <a:blip r:embed="rId1"/>
                        <a:stretch>
                          <a:fillRect/>
                        </a:stretch>
                      </pic:blipFill>
                      <pic:spPr bwMode="auto">
                        <a:xfrm>
                          <a:off x="0" y="0"/>
                          <a:ext cx="259080" cy="259080"/>
                        </a:xfrm>
                        <a:prstGeom prst="rect">
                          <a:avLst/>
                        </a:prstGeom>
                      </pic:spPr>
                    </pic:pic>
                  </a:graphicData>
                </a:graphic>
              </wp:inline>
            </w:drawing>
          </w:r>
        </w:p>
        <w:p>
          <w:pPr>
            <w:pStyle w:val="Normal"/>
            <w:spacing w:before="0" w:after="0"/>
            <w:jc w:val="right"/>
            <w:rPr/>
          </w:pPr>
          <w:r>
            <w:rPr>
              <w:rFonts w:cs="Arial"/>
              <w:i/>
              <w:color w:val="2E75B6"/>
              <w:sz w:val="16"/>
            </w:rPr>
            <w:t>Édité par HEMC</w:t>
          </w:r>
        </w:p>
      </w:tc>
    </w:tr>
  </w:tbl>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360"/>
        </w:tabs>
        <w:ind w:left="36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720"/>
        </w:tabs>
        <w:ind w:left="72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1080"/>
        </w:tabs>
        <w:ind w:left="1080" w:hanging="360"/>
      </w:pPr>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mbria" w:hAnsi="Cambria" w:eastAsia="" w:cs="" w:asciiTheme="minorHAnsi" w:cstheme="minorBidi" w:eastAsiaTheme="minorEastAsia" w:hAnsiTheme="minorHAnsi"/>
        <w:sz w:val="22"/>
        <w:szCs w:val="22"/>
        <w:lang w:val="en-US" w:eastAsia="en-US" w:bidi="ar-SA"/>
      </w:rPr>
    </w:rPrDefault>
    <w:pPrDefault>
      <w:pPr>
        <w:suppressAutoHyphens w:val="true"/>
      </w:pPr>
    </w:pPrDefault>
  </w:docDefaults>
  <w:latentStyles w:defLockedState="0" w:defUIPriority="99" w:defSemiHidden="1" w:defUnhideWhenUsed="1" w:defQFormat="0" w:count="276">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fc693f"/>
    <w:pPr>
      <w:widowControl/>
      <w:suppressAutoHyphens w:val="true"/>
      <w:bidi w:val="0"/>
      <w:spacing w:lineRule="auto" w:line="276" w:before="0" w:after="200"/>
      <w:jc w:val="left"/>
    </w:pPr>
    <w:rPr>
      <w:rFonts w:ascii="Arial" w:hAnsi="Arial" w:eastAsia="ＭＳ 明朝" w:cs="Arial"/>
      <w:color w:val="222222"/>
      <w:kern w:val="0"/>
      <w:sz w:val="21"/>
      <w:szCs w:val="22"/>
      <w:lang w:val="en-US" w:eastAsia="en-US" w:bidi="ar-SA"/>
    </w:rPr>
  </w:style>
  <w:style w:type="paragraph" w:styleId="Heading1">
    <w:name w:val="Heading 1"/>
    <w:basedOn w:val="Normal"/>
    <w:next w:val="Normal"/>
    <w:link w:val="Heading1Char"/>
    <w:uiPriority w:val="9"/>
    <w:qFormat/>
    <w:rsid w:val="00fc693f"/>
    <w:pPr>
      <w:keepNext w:val="true"/>
      <w:keepLines/>
      <w:spacing w:before="480" w:after="0"/>
      <w:outlineLvl w:val="0"/>
    </w:pPr>
    <w:rPr>
      <w:rFonts w:ascii="Calibri" w:hAnsi="Calibri" w:eastAsia="" w:cs="" w:asciiTheme="majorHAnsi" w:cstheme="majorBidi" w:eastAsiaTheme="majorEastAsia" w:hAnsiTheme="majorHAnsi"/>
      <w:b/>
      <w:bCs/>
      <w:color w:val="1F4E79"/>
      <w:sz w:val="30"/>
      <w:szCs w:val="28"/>
    </w:rPr>
  </w:style>
  <w:style w:type="paragraph" w:styleId="Heading2">
    <w:name w:val="Heading 2"/>
    <w:basedOn w:val="Normal"/>
    <w:next w:val="Normal"/>
    <w:link w:val="Heading2Char"/>
    <w:uiPriority w:val="9"/>
    <w:unhideWhenUsed/>
    <w:qFormat/>
    <w:rsid w:val="00fc693f"/>
    <w:pPr>
      <w:keepNext w:val="true"/>
      <w:keepLines/>
      <w:spacing w:before="200" w:after="0"/>
      <w:outlineLvl w:val="1"/>
    </w:pPr>
    <w:rPr>
      <w:rFonts w:ascii="Calibri" w:hAnsi="Calibri" w:eastAsia="" w:cs="" w:asciiTheme="majorHAnsi" w:cstheme="majorBidi" w:eastAsiaTheme="majorEastAsia" w:hAnsiTheme="majorHAnsi"/>
      <w:b/>
      <w:bCs/>
      <w:color w:themeColor="accent1" w:val="4F81BD"/>
      <w:sz w:val="26"/>
      <w:szCs w:val="26"/>
    </w:rPr>
  </w:style>
  <w:style w:type="paragraph" w:styleId="Heading3">
    <w:name w:val="Heading 3"/>
    <w:basedOn w:val="Normal"/>
    <w:next w:val="Normal"/>
    <w:link w:val="Heading3Char"/>
    <w:uiPriority w:val="9"/>
    <w:unhideWhenUsed/>
    <w:qFormat/>
    <w:rsid w:val="00fc693f"/>
    <w:pPr>
      <w:keepNext w:val="true"/>
      <w:keepLines/>
      <w:spacing w:before="200" w:after="0"/>
      <w:outlineLvl w:val="2"/>
    </w:pPr>
    <w:rPr>
      <w:rFonts w:ascii="Calibri" w:hAnsi="Calibri" w:eastAsia="" w:cs="" w:asciiTheme="majorHAnsi" w:cstheme="majorBidi" w:eastAsiaTheme="majorEastAsia" w:hAnsiTheme="majorHAnsi"/>
      <w:b/>
      <w:bCs/>
      <w:color w:themeColor="accent1" w:val="4F81BD"/>
    </w:rPr>
  </w:style>
  <w:style w:type="paragraph" w:styleId="Heading4">
    <w:name w:val="Heading 4"/>
    <w:basedOn w:val="Normal"/>
    <w:next w:val="Normal"/>
    <w:link w:val="Heading4Char"/>
    <w:uiPriority w:val="9"/>
    <w:semiHidden/>
    <w:unhideWhenUsed/>
    <w:qFormat/>
    <w:rsid w:val="00fc693f"/>
    <w:pPr>
      <w:keepNext w:val="true"/>
      <w:keepLines/>
      <w:spacing w:before="200" w:after="0"/>
      <w:outlineLvl w:val="3"/>
    </w:pPr>
    <w:rPr>
      <w:rFonts w:ascii="Calibri" w:hAnsi="Calibri" w:eastAsia="" w:cs="" w:asciiTheme="majorHAnsi" w:cstheme="majorBidi" w:eastAsiaTheme="majorEastAsia" w:hAnsiTheme="majorHAnsi"/>
      <w:b/>
      <w:bCs/>
      <w:i/>
      <w:iCs/>
      <w:color w:themeColor="accent1" w:val="4F81BD"/>
    </w:rPr>
  </w:style>
  <w:style w:type="paragraph" w:styleId="Heading5">
    <w:name w:val="Heading 5"/>
    <w:basedOn w:val="Normal"/>
    <w:next w:val="Normal"/>
    <w:link w:val="Heading5Char"/>
    <w:uiPriority w:val="9"/>
    <w:semiHidden/>
    <w:unhideWhenUsed/>
    <w:qFormat/>
    <w:rsid w:val="00fc693f"/>
    <w:pPr>
      <w:keepNext w:val="true"/>
      <w:keepLines/>
      <w:spacing w:before="200" w:after="0"/>
      <w:outlineLvl w:val="4"/>
    </w:pPr>
    <w:rPr>
      <w:rFonts w:ascii="Calibri" w:hAnsi="Calibri" w:eastAsia="" w:cs="" w:asciiTheme="majorHAnsi" w:cstheme="majorBidi" w:eastAsiaTheme="majorEastAsia" w:hAnsiTheme="majorHAnsi"/>
      <w:color w:themeColor="accent1" w:themeShade="7f" w:val="243F60"/>
    </w:rPr>
  </w:style>
  <w:style w:type="paragraph" w:styleId="Heading6">
    <w:name w:val="Heading 6"/>
    <w:basedOn w:val="Normal"/>
    <w:next w:val="Normal"/>
    <w:link w:val="Heading6Char"/>
    <w:uiPriority w:val="9"/>
    <w:semiHidden/>
    <w:unhideWhenUsed/>
    <w:qFormat/>
    <w:rsid w:val="00fc693f"/>
    <w:pPr>
      <w:keepNext w:val="true"/>
      <w:keepLines/>
      <w:spacing w:before="200" w:after="0"/>
      <w:outlineLvl w:val="5"/>
    </w:pPr>
    <w:rPr>
      <w:rFonts w:ascii="Calibri" w:hAnsi="Calibri" w:eastAsia="" w:cs="" w:asciiTheme="majorHAnsi" w:cstheme="majorBidi" w:eastAsiaTheme="majorEastAsia" w:hAnsiTheme="majorHAnsi"/>
      <w:i/>
      <w:iCs/>
      <w:color w:themeColor="accent1" w:themeShade="7f" w:val="243F60"/>
    </w:rPr>
  </w:style>
  <w:style w:type="paragraph" w:styleId="Heading7">
    <w:name w:val="Heading 7"/>
    <w:basedOn w:val="Normal"/>
    <w:next w:val="Normal"/>
    <w:link w:val="Heading7Char"/>
    <w:uiPriority w:val="9"/>
    <w:semiHidden/>
    <w:unhideWhenUsed/>
    <w:qFormat/>
    <w:rsid w:val="00fc693f"/>
    <w:pPr>
      <w:keepNext w:val="true"/>
      <w:keepLines/>
      <w:spacing w:before="200" w:after="0"/>
      <w:outlineLvl w:val="6"/>
    </w:pPr>
    <w:rPr>
      <w:rFonts w:ascii="Calibri" w:hAnsi="Calibri" w:eastAsia="" w:cs="" w:asciiTheme="majorHAnsi" w:cstheme="majorBidi" w:eastAsiaTheme="majorEastAsia" w:hAnsiTheme="majorHAnsi"/>
      <w:i/>
      <w:iCs/>
      <w:color w:themeColor="text1" w:themeTint="bf" w:val="404040"/>
    </w:rPr>
  </w:style>
  <w:style w:type="paragraph" w:styleId="Heading8">
    <w:name w:val="Heading 8"/>
    <w:basedOn w:val="Normal"/>
    <w:next w:val="Normal"/>
    <w:link w:val="Heading8Char"/>
    <w:uiPriority w:val="9"/>
    <w:semiHidden/>
    <w:unhideWhenUsed/>
    <w:qFormat/>
    <w:rsid w:val="00fc693f"/>
    <w:pPr>
      <w:keepNext w:val="true"/>
      <w:keepLines/>
      <w:spacing w:before="200" w:after="0"/>
      <w:outlineLvl w:val="7"/>
    </w:pPr>
    <w:rPr>
      <w:rFonts w:ascii="Calibri" w:hAnsi="Calibri" w:eastAsia="" w:cs="" w:asciiTheme="majorHAnsi" w:cstheme="majorBidi" w:eastAsiaTheme="majorEastAsia" w:hAnsiTheme="majorHAnsi"/>
      <w:color w:themeColor="accent1" w:val="4F81BD"/>
      <w:sz w:val="20"/>
      <w:szCs w:val="20"/>
    </w:rPr>
  </w:style>
  <w:style w:type="paragraph" w:styleId="Heading9">
    <w:name w:val="Heading 9"/>
    <w:basedOn w:val="Normal"/>
    <w:next w:val="Normal"/>
    <w:link w:val="Heading9Char"/>
    <w:uiPriority w:val="9"/>
    <w:semiHidden/>
    <w:unhideWhenUsed/>
    <w:qFormat/>
    <w:rsid w:val="00fc693f"/>
    <w:pPr>
      <w:keepNext w:val="true"/>
      <w:keepLines/>
      <w:spacing w:before="200" w:after="0"/>
      <w:outlineLvl w:val="8"/>
    </w:pPr>
    <w:rPr>
      <w:rFonts w:ascii="Calibri" w:hAnsi="Calibri" w:eastAsia="" w:cs="" w:asciiTheme="majorHAnsi" w:cstheme="majorBidi" w:eastAsiaTheme="majorEastAsia" w:hAnsiTheme="majorHAnsi"/>
      <w:i/>
      <w:iCs/>
      <w:color w:themeColor="text1" w:themeTint="bf" w:val="404040"/>
      <w:sz w:val="20"/>
      <w:szCs w:val="20"/>
    </w:rPr>
  </w:style>
  <w:style w:type="character" w:styleId="HeaderChar" w:customStyle="1">
    <w:name w:val="Header Char"/>
    <w:basedOn w:val="DefaultParagraphFont"/>
    <w:link w:val="Header"/>
    <w:uiPriority w:val="99"/>
    <w:qFormat/>
    <w:rsid w:val="00e618bf"/>
    <w:rPr/>
  </w:style>
  <w:style w:type="character" w:styleId="FooterChar" w:customStyle="1">
    <w:name w:val="Footer Char"/>
    <w:basedOn w:val="DefaultParagraphFont"/>
    <w:link w:val="Footer"/>
    <w:uiPriority w:val="99"/>
    <w:qFormat/>
    <w:rsid w:val="00e618bf"/>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fc693f"/>
    <w:rPr>
      <w:rFonts w:ascii="Calibri" w:hAnsi="Calibri" w:eastAsia="" w:cs="" w:asciiTheme="majorHAnsi" w:cstheme="majorBidi" w:eastAsiaTheme="majorEastAsia" w:hAnsiTheme="majorHAnsi"/>
      <w:b/>
      <w:bCs/>
      <w:color w:themeColor="accent1" w:themeShade="bf" w:val="365F91"/>
      <w:sz w:val="28"/>
      <w:szCs w:val="28"/>
    </w:rPr>
  </w:style>
  <w:style w:type="character" w:styleId="Heading2Char" w:customStyle="1">
    <w:name w:val="Heading 2 Char"/>
    <w:basedOn w:val="DefaultParagraphFont"/>
    <w:link w:val="Heading2"/>
    <w:uiPriority w:val="9"/>
    <w:qFormat/>
    <w:rsid w:val="00fc693f"/>
    <w:rPr>
      <w:rFonts w:ascii="Calibri" w:hAnsi="Calibri" w:eastAsia="" w:cs="" w:asciiTheme="majorHAnsi" w:cstheme="majorBidi" w:eastAsiaTheme="majorEastAsia" w:hAnsiTheme="majorHAnsi"/>
      <w:b/>
      <w:bCs/>
      <w:color w:themeColor="accent1" w:val="4F81BD"/>
      <w:sz w:val="26"/>
      <w:szCs w:val="26"/>
    </w:rPr>
  </w:style>
  <w:style w:type="character" w:styleId="Heading3Char" w:customStyle="1">
    <w:name w:val="Heading 3 Char"/>
    <w:basedOn w:val="DefaultParagraphFont"/>
    <w:link w:val="Heading3"/>
    <w:uiPriority w:val="9"/>
    <w:qFormat/>
    <w:rsid w:val="00fc693f"/>
    <w:rPr>
      <w:rFonts w:ascii="Calibri" w:hAnsi="Calibri" w:eastAsia="" w:cs="" w:asciiTheme="majorHAnsi" w:cstheme="majorBidi" w:eastAsiaTheme="majorEastAsia" w:hAnsiTheme="majorHAnsi"/>
      <w:b/>
      <w:bCs/>
      <w:color w:themeColor="accent1" w:val="4F81BD"/>
    </w:rPr>
  </w:style>
  <w:style w:type="character" w:styleId="TitleChar" w:customStyle="1">
    <w:name w:val="Title Char"/>
    <w:basedOn w:val="DefaultParagraphFont"/>
    <w:link w:val="Title"/>
    <w:uiPriority w:val="10"/>
    <w:qFormat/>
    <w:rsid w:val="00fc693f"/>
    <w:rPr>
      <w:rFonts w:ascii="Calibri" w:hAnsi="Calibri" w:eastAsia="" w:cs="" w:asciiTheme="majorHAnsi" w:cstheme="majorBidi" w:eastAsiaTheme="majorEastAsia" w:hAnsiTheme="majorHAnsi"/>
      <w:color w:themeColor="text2" w:themeShade="bf" w:val="17365D"/>
      <w:spacing w:val="5"/>
      <w:kern w:val="2"/>
      <w:sz w:val="52"/>
      <w:szCs w:val="52"/>
    </w:rPr>
  </w:style>
  <w:style w:type="character" w:styleId="SubtitleChar" w:customStyle="1">
    <w:name w:val="Subtitle Char"/>
    <w:basedOn w:val="DefaultParagraphFont"/>
    <w:link w:val="Subtitle"/>
    <w:uiPriority w:val="11"/>
    <w:qFormat/>
    <w:rsid w:val="00fc693f"/>
    <w:rPr>
      <w:rFonts w:ascii="Calibri" w:hAnsi="Calibri" w:eastAsia="" w:cs="" w:asciiTheme="majorHAnsi" w:cstheme="majorBidi" w:eastAsiaTheme="majorEastAsia" w:hAnsiTheme="majorHAnsi"/>
      <w:i/>
      <w:iCs/>
      <w:color w:themeColor="accent1" w:val="4F81BD"/>
      <w:spacing w:val="15"/>
      <w:sz w:val="24"/>
      <w:szCs w:val="24"/>
    </w:rPr>
  </w:style>
  <w:style w:type="character" w:styleId="BodyTextChar" w:customStyle="1">
    <w:name w:val="Body Text Char"/>
    <w:basedOn w:val="DefaultParagraphFont"/>
    <w:uiPriority w:val="99"/>
    <w:qFormat/>
    <w:rsid w:val="00aa1d8d"/>
    <w:rPr/>
  </w:style>
  <w:style w:type="character" w:styleId="BodyText2Char" w:customStyle="1">
    <w:name w:val="Body Text 2 Char"/>
    <w:basedOn w:val="DefaultParagraphFont"/>
    <w:link w:val="BodyText2"/>
    <w:uiPriority w:val="99"/>
    <w:qFormat/>
    <w:rsid w:val="00aa1d8d"/>
    <w:rPr/>
  </w:style>
  <w:style w:type="character" w:styleId="BodyText3Char" w:customStyle="1">
    <w:name w:val="Body Text 3 Char"/>
    <w:basedOn w:val="DefaultParagraphFont"/>
    <w:link w:val="BodyText3"/>
    <w:uiPriority w:val="99"/>
    <w:qFormat/>
    <w:rsid w:val="00aa1d8d"/>
    <w:rPr>
      <w:sz w:val="16"/>
      <w:szCs w:val="16"/>
    </w:rPr>
  </w:style>
  <w:style w:type="character" w:styleId="MacroTextChar" w:customStyle="1">
    <w:name w:val="Macro Text Char"/>
    <w:basedOn w:val="DefaultParagraphFont"/>
    <w:link w:val="macro"/>
    <w:uiPriority w:val="99"/>
    <w:qFormat/>
    <w:rsid w:val="0029639d"/>
    <w:rPr>
      <w:rFonts w:ascii="Courier" w:hAnsi="Courier"/>
      <w:sz w:val="20"/>
      <w:szCs w:val="20"/>
    </w:rPr>
  </w:style>
  <w:style w:type="character" w:styleId="QuoteChar" w:customStyle="1">
    <w:name w:val="Quote Char"/>
    <w:basedOn w:val="DefaultParagraphFont"/>
    <w:link w:val="Quote"/>
    <w:uiPriority w:val="29"/>
    <w:qFormat/>
    <w:rsid w:val="00fc693f"/>
    <w:rPr>
      <w:i/>
      <w:iCs/>
      <w:color w:themeColor="text1" w:val="000000"/>
    </w:rPr>
  </w:style>
  <w:style w:type="character" w:styleId="Heading4Char" w:customStyle="1">
    <w:name w:val="Heading 4 Char"/>
    <w:basedOn w:val="DefaultParagraphFont"/>
    <w:link w:val="Heading4"/>
    <w:uiPriority w:val="9"/>
    <w:semiHidden/>
    <w:qFormat/>
    <w:rsid w:val="00fc693f"/>
    <w:rPr>
      <w:rFonts w:ascii="Calibri" w:hAnsi="Calibri" w:eastAsia="" w:cs="" w:asciiTheme="majorHAnsi" w:cstheme="majorBidi" w:eastAsiaTheme="majorEastAsia" w:hAnsiTheme="majorHAnsi"/>
      <w:b/>
      <w:bCs/>
      <w:i/>
      <w:iCs/>
      <w:color w:themeColor="accent1" w:val="4F81BD"/>
    </w:rPr>
  </w:style>
  <w:style w:type="character" w:styleId="Heading5Char" w:customStyle="1">
    <w:name w:val="Heading 5 Char"/>
    <w:basedOn w:val="DefaultParagraphFont"/>
    <w:link w:val="Heading5"/>
    <w:uiPriority w:val="9"/>
    <w:semiHidden/>
    <w:qFormat/>
    <w:rsid w:val="00fc693f"/>
    <w:rPr>
      <w:rFonts w:ascii="Calibri" w:hAnsi="Calibri" w:eastAsia="" w:cs="" w:asciiTheme="majorHAnsi" w:cstheme="majorBidi" w:eastAsiaTheme="majorEastAsia" w:hAnsiTheme="majorHAnsi"/>
      <w:color w:themeColor="accent1" w:themeShade="7f" w:val="243F60"/>
    </w:rPr>
  </w:style>
  <w:style w:type="character" w:styleId="Heading6Char" w:customStyle="1">
    <w:name w:val="Heading 6 Char"/>
    <w:basedOn w:val="DefaultParagraphFont"/>
    <w:link w:val="Heading6"/>
    <w:uiPriority w:val="9"/>
    <w:semiHidden/>
    <w:qFormat/>
    <w:rsid w:val="00fc693f"/>
    <w:rPr>
      <w:rFonts w:ascii="Calibri" w:hAnsi="Calibri" w:eastAsia="" w:cs="" w:asciiTheme="majorHAnsi" w:cstheme="majorBidi" w:eastAsiaTheme="majorEastAsia" w:hAnsiTheme="majorHAnsi"/>
      <w:i/>
      <w:iCs/>
      <w:color w:themeColor="accent1" w:themeShade="7f" w:val="243F60"/>
    </w:rPr>
  </w:style>
  <w:style w:type="character" w:styleId="Heading7Char" w:customStyle="1">
    <w:name w:val="Heading 7 Char"/>
    <w:basedOn w:val="DefaultParagraphFont"/>
    <w:link w:val="Heading7"/>
    <w:uiPriority w:val="9"/>
    <w:semiHidden/>
    <w:qFormat/>
    <w:rsid w:val="00fc693f"/>
    <w:rPr>
      <w:rFonts w:ascii="Calibri" w:hAnsi="Calibri" w:eastAsia="" w:cs="" w:asciiTheme="majorHAnsi" w:cstheme="majorBidi" w:eastAsiaTheme="majorEastAsia" w:hAnsiTheme="majorHAnsi"/>
      <w:i/>
      <w:iCs/>
      <w:color w:themeColor="text1" w:themeTint="bf" w:val="404040"/>
    </w:rPr>
  </w:style>
  <w:style w:type="character" w:styleId="Heading8Char" w:customStyle="1">
    <w:name w:val="Heading 8 Char"/>
    <w:basedOn w:val="DefaultParagraphFont"/>
    <w:link w:val="Heading8"/>
    <w:uiPriority w:val="9"/>
    <w:semiHidden/>
    <w:qFormat/>
    <w:rsid w:val="00fc693f"/>
    <w:rPr>
      <w:rFonts w:ascii="Calibri" w:hAnsi="Calibri" w:eastAsia="" w:cs="" w:asciiTheme="majorHAnsi" w:cstheme="majorBidi" w:eastAsiaTheme="majorEastAsia" w:hAnsiTheme="majorHAnsi"/>
      <w:color w:themeColor="accent1" w:val="4F81BD"/>
      <w:sz w:val="20"/>
      <w:szCs w:val="20"/>
    </w:rPr>
  </w:style>
  <w:style w:type="character" w:styleId="Heading9Char" w:customStyle="1">
    <w:name w:val="Heading 9 Char"/>
    <w:basedOn w:val="DefaultParagraphFont"/>
    <w:link w:val="Heading9"/>
    <w:uiPriority w:val="9"/>
    <w:semiHidden/>
    <w:qFormat/>
    <w:rsid w:val="00fc693f"/>
    <w:rPr>
      <w:rFonts w:ascii="Calibri" w:hAnsi="Calibri" w:eastAsia="" w:cs="" w:asciiTheme="majorHAnsi" w:cstheme="majorBidi" w:eastAsiaTheme="majorEastAsia" w:hAnsiTheme="majorHAnsi"/>
      <w:i/>
      <w:iCs/>
      <w:color w:themeColor="text1" w:themeTint="bf" w:val="404040"/>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styleId="IntenseQuoteChar" w:customStyle="1">
    <w:name w:val="Intense Quote Char"/>
    <w:basedOn w:val="DefaultParagraphFont"/>
    <w:link w:val="IntenseQuote"/>
    <w:uiPriority w:val="30"/>
    <w:qFormat/>
    <w:rsid w:val="00fc693f"/>
    <w:rPr>
      <w:b/>
      <w:bCs/>
      <w:i/>
      <w:iCs/>
      <w:color w:themeColor="accent1" w:val="4F81BD"/>
    </w:rPr>
  </w:style>
  <w:style w:type="character" w:styleId="SubtleEmphasis">
    <w:name w:val="Subtle Emphasis"/>
    <w:basedOn w:val="DefaultParagraphFont"/>
    <w:uiPriority w:val="19"/>
    <w:qFormat/>
    <w:rsid w:val="00fc693f"/>
    <w:rPr>
      <w:i/>
      <w:iCs/>
      <w:color w:themeColor="text1" w:themeTint="7f" w:val="808080"/>
    </w:rPr>
  </w:style>
  <w:style w:type="character" w:styleId="IntenseEmphasis">
    <w:name w:val="Intense Emphasis"/>
    <w:basedOn w:val="DefaultParagraphFont"/>
    <w:uiPriority w:val="21"/>
    <w:qFormat/>
    <w:rsid w:val="00fc693f"/>
    <w:rPr>
      <w:b/>
      <w:bCs/>
      <w:i/>
      <w:iCs/>
      <w:color w:themeColor="accent1" w:val="4F81BD"/>
    </w:rPr>
  </w:style>
  <w:style w:type="character" w:styleId="SubtleReference">
    <w:name w:val="Subtle Reference"/>
    <w:basedOn w:val="DefaultParagraphFont"/>
    <w:uiPriority w:val="31"/>
    <w:qFormat/>
    <w:rsid w:val="00fc693f"/>
    <w:rPr>
      <w:smallCaps/>
      <w:color w:themeColor="accent2" w:val="C0504D"/>
      <w:u w:val="single"/>
    </w:rPr>
  </w:style>
  <w:style w:type="character" w:styleId="IntenseReference">
    <w:name w:val="Intense Reference"/>
    <w:basedOn w:val="DefaultParagraphFont"/>
    <w:uiPriority w:val="32"/>
    <w:qFormat/>
    <w:rsid w:val="00fc693f"/>
    <w:rPr>
      <w:b/>
      <w:bCs/>
      <w:smallCaps/>
      <w:color w:themeColor="accent2" w:val="C0504D"/>
      <w:spacing w:val="5"/>
      <w:u w:val="single"/>
    </w:rPr>
  </w:style>
  <w:style w:type="character" w:styleId="BookTitle">
    <w:name w:val="Book Title"/>
    <w:basedOn w:val="DefaultParagraphFont"/>
    <w:uiPriority w:val="33"/>
    <w:qFormat/>
    <w:rsid w:val="00fc693f"/>
    <w:rPr>
      <w:b/>
      <w:bCs/>
      <w:smallCaps/>
      <w:spacing w:val="5"/>
    </w:rPr>
  </w:style>
  <w:style w:type="character" w:styleId="Hyperlink">
    <w:name w:val="Hyperlink"/>
    <w:rPr>
      <w:color w:val="000080"/>
      <w:u w:val="single"/>
    </w:rPr>
  </w:style>
  <w:style w:type="character" w:styleId="IndexLink">
    <w:name w:val="Index Link"/>
    <w:qFormat/>
    <w:rPr/>
  </w:style>
  <w:style w:type="paragraph" w:styleId="Heading">
    <w:name w:val="Heading"/>
    <w:basedOn w:val="Normal"/>
    <w:next w:val="BodyText"/>
    <w:qFormat/>
    <w:pPr>
      <w:keepNext w:val="true"/>
      <w:spacing w:before="240" w:after="120"/>
    </w:pPr>
    <w:rPr>
      <w:rFonts w:ascii="Liberation Sans" w:hAnsi="Liberation Sans" w:eastAsia="Noto Sans CJK SC" w:cs="FreeSans"/>
      <w:sz w:val="28"/>
      <w:szCs w:val="28"/>
    </w:rPr>
  </w:style>
  <w:style w:type="paragraph" w:styleId="BodyText">
    <w:name w:val="Body Text"/>
    <w:basedOn w:val="Normal"/>
    <w:link w:val="BodyTextChar"/>
    <w:uiPriority w:val="99"/>
    <w:unhideWhenUsed/>
    <w:rsid w:val="00aa1d8d"/>
    <w:pPr>
      <w:spacing w:before="0" w:after="120"/>
    </w:pPr>
    <w:rPr/>
  </w:style>
  <w:style w:type="paragraph" w:styleId="List">
    <w:name w:val="List"/>
    <w:basedOn w:val="Normal"/>
    <w:uiPriority w:val="99"/>
    <w:unhideWhenUsed/>
    <w:rsid w:val="00aa1d8d"/>
    <w:pPr>
      <w:spacing w:before="0" w:after="200"/>
      <w:ind w:hanging="360" w:left="360"/>
      <w:contextualSpacing/>
    </w:pPr>
    <w:rPr/>
  </w:style>
  <w:style w:type="paragraph" w:styleId="Caption">
    <w:name w:val="Caption"/>
    <w:basedOn w:val="Normal"/>
    <w:next w:val="Normal"/>
    <w:uiPriority w:val="35"/>
    <w:semiHidden/>
    <w:unhideWhenUsed/>
    <w:qFormat/>
    <w:rsid w:val="00fc693f"/>
    <w:pPr>
      <w:spacing w:lineRule="auto" w:line="240"/>
    </w:pPr>
    <w:rPr>
      <w:b/>
      <w:bCs/>
      <w:color w:themeColor="accent1" w:val="4F81BD"/>
      <w:sz w:val="18"/>
      <w:szCs w:val="18"/>
    </w:rPr>
  </w:style>
  <w:style w:type="paragraph" w:styleId="Index">
    <w:name w:val="Index"/>
    <w:basedOn w:val="Normal"/>
    <w:qFormat/>
    <w:pPr>
      <w:suppressLineNumbers/>
    </w:pPr>
    <w:rPr>
      <w:rFonts w:cs="FreeSans"/>
    </w:rPr>
  </w:style>
  <w:style w:type="paragraph" w:styleId="HeaderandFooter">
    <w:name w:val="Header and Footer"/>
    <w:basedOn w:val="Normal"/>
    <w:qFormat/>
    <w:pPr/>
    <w:rPr/>
  </w:style>
  <w:style w:type="paragraph" w:styleId="Header">
    <w:name w:val="Header"/>
    <w:basedOn w:val="Normal"/>
    <w:link w:val="HeaderChar"/>
    <w:uiPriority w:val="99"/>
    <w:unhideWhenUsed/>
    <w:rsid w:val="00e618bf"/>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e618bf"/>
    <w:pPr>
      <w:tabs>
        <w:tab w:val="clear" w:pos="720"/>
        <w:tab w:val="center" w:pos="4680" w:leader="none"/>
        <w:tab w:val="right" w:pos="9360" w:leader="none"/>
      </w:tabs>
      <w:spacing w:lineRule="auto" w:line="240" w:before="0" w:after="0"/>
    </w:pPr>
    <w:rPr/>
  </w:style>
  <w:style w:type="paragraph" w:styleId="NoSpacing">
    <w:name w:val="No Spacing"/>
    <w:uiPriority w:val="1"/>
    <w:qFormat/>
    <w:rsid w:val="00fc693f"/>
    <w:pPr>
      <w:widowControl/>
      <w:suppressAutoHyphens w:val="true"/>
      <w:bidi w:val="0"/>
      <w:spacing w:lineRule="auto" w:line="240" w:before="0" w:after="0"/>
      <w:jc w:val="left"/>
    </w:pPr>
    <w:rPr>
      <w:rFonts w:ascii="Cambria" w:hAnsi="Cambria" w:eastAsia="" w:cs="" w:asciiTheme="minorHAnsi" w:cstheme="minorBidi" w:eastAsiaTheme="minorEastAsia" w:hAnsiTheme="minorHAnsi"/>
      <w:color w:val="auto"/>
      <w:kern w:val="0"/>
      <w:sz w:val="22"/>
      <w:szCs w:val="22"/>
      <w:lang w:val="en-US" w:eastAsia="en-US" w:bidi="ar-SA"/>
    </w:rPr>
  </w:style>
  <w:style w:type="paragraph" w:styleId="Title">
    <w:name w:val="Title"/>
    <w:basedOn w:val="Normal"/>
    <w:next w:val="Normal"/>
    <w:link w:val="TitleChar"/>
    <w:uiPriority w:val="10"/>
    <w:qFormat/>
    <w:rsid w:val="00fc693f"/>
    <w:pPr>
      <w:pBdr>
        <w:bottom w:val="single" w:sz="8" w:space="4" w:color="4F81BD" w:themeColor="accent1"/>
      </w:pBdr>
      <w:spacing w:lineRule="auto" w:line="240"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Subtitle">
    <w:name w:val="Subtitle"/>
    <w:basedOn w:val="Normal"/>
    <w:next w:val="Normal"/>
    <w:link w:val="SubtitleChar"/>
    <w:uiPriority w:val="11"/>
    <w:qFormat/>
    <w:rsid w:val="00fc693f"/>
    <w:pPr/>
    <w:rPr>
      <w:rFonts w:ascii="Calibri" w:hAnsi="Calibri" w:eastAsia="" w:cs="" w:asciiTheme="majorHAnsi" w:cstheme="majorBidi" w:eastAsiaTheme="majorEastAsia" w:hAnsiTheme="majorHAnsi"/>
      <w:i/>
      <w:iCs/>
      <w:color w:themeColor="accent1" w:val="4F81BD"/>
      <w:spacing w:val="15"/>
      <w:sz w:val="24"/>
      <w:szCs w:val="24"/>
    </w:rPr>
  </w:style>
  <w:style w:type="paragraph" w:styleId="ListParagraph">
    <w:name w:val="List Paragraph"/>
    <w:basedOn w:val="Normal"/>
    <w:uiPriority w:val="34"/>
    <w:qFormat/>
    <w:rsid w:val="00fc693f"/>
    <w:pPr>
      <w:spacing w:before="0" w:after="200"/>
      <w:ind w:left="720"/>
      <w:contextualSpacing/>
    </w:pPr>
    <w:rPr/>
  </w:style>
  <w:style w:type="paragraph" w:styleId="BodyText2">
    <w:name w:val="Body Text 2"/>
    <w:basedOn w:val="Normal"/>
    <w:link w:val="BodyText2Char"/>
    <w:uiPriority w:val="99"/>
    <w:unhideWhenUsed/>
    <w:qFormat/>
    <w:rsid w:val="00aa1d8d"/>
    <w:pPr>
      <w:spacing w:lineRule="auto" w:line="480" w:before="0" w:after="120"/>
    </w:pPr>
    <w:rPr/>
  </w:style>
  <w:style w:type="paragraph" w:styleId="BodyText3">
    <w:name w:val="Body Text 3"/>
    <w:basedOn w:val="Normal"/>
    <w:link w:val="BodyText3Char"/>
    <w:uiPriority w:val="99"/>
    <w:unhideWhenUsed/>
    <w:qFormat/>
    <w:rsid w:val="00aa1d8d"/>
    <w:pPr>
      <w:spacing w:before="0" w:after="120"/>
    </w:pPr>
    <w:rPr>
      <w:sz w:val="16"/>
      <w:szCs w:val="16"/>
    </w:rPr>
  </w:style>
  <w:style w:type="paragraph" w:styleId="List2">
    <w:name w:val="List 2"/>
    <w:basedOn w:val="Normal"/>
    <w:uiPriority w:val="99"/>
    <w:unhideWhenUsed/>
    <w:qFormat/>
    <w:rsid w:val="00326f90"/>
    <w:pPr>
      <w:spacing w:before="0" w:after="200"/>
      <w:ind w:hanging="360" w:left="720"/>
      <w:contextualSpacing/>
    </w:pPr>
    <w:rPr/>
  </w:style>
  <w:style w:type="paragraph" w:styleId="List3">
    <w:name w:val="List 3"/>
    <w:basedOn w:val="Normal"/>
    <w:uiPriority w:val="99"/>
    <w:unhideWhenUsed/>
    <w:qFormat/>
    <w:rsid w:val="00326f90"/>
    <w:pPr>
      <w:spacing w:before="0" w:after="200"/>
      <w:ind w:hanging="360" w:left="1080"/>
      <w:contextualSpacing/>
    </w:pPr>
    <w:rPr/>
  </w:style>
  <w:style w:type="paragraph" w:styleId="ListBullet">
    <w:name w:val="List Bullet"/>
    <w:basedOn w:val="Normal"/>
    <w:uiPriority w:val="99"/>
    <w:unhideWhenUsed/>
    <w:rsid w:val="00326f90"/>
    <w:pPr>
      <w:numPr>
        <w:ilvl w:val="0"/>
        <w:numId w:val="1"/>
      </w:numPr>
      <w:spacing w:before="0" w:after="200"/>
      <w:contextualSpacing/>
    </w:pPr>
    <w:rPr/>
  </w:style>
  <w:style w:type="paragraph" w:styleId="ListBullet2">
    <w:name w:val="List Bullet 2"/>
    <w:basedOn w:val="Normal"/>
    <w:uiPriority w:val="99"/>
    <w:unhideWhenUsed/>
    <w:rsid w:val="00326f90"/>
    <w:pPr>
      <w:numPr>
        <w:ilvl w:val="0"/>
        <w:numId w:val="2"/>
      </w:numPr>
      <w:spacing w:before="0" w:after="200"/>
      <w:contextualSpacing/>
    </w:pPr>
    <w:rPr/>
  </w:style>
  <w:style w:type="paragraph" w:styleId="ListBullet3">
    <w:name w:val="List Bullet 3"/>
    <w:basedOn w:val="Normal"/>
    <w:uiPriority w:val="99"/>
    <w:unhideWhenUsed/>
    <w:rsid w:val="00326f90"/>
    <w:pPr>
      <w:numPr>
        <w:ilvl w:val="0"/>
        <w:numId w:val="3"/>
      </w:numPr>
      <w:spacing w:before="0" w:after="200"/>
      <w:contextualSpacing/>
    </w:pPr>
    <w:rPr/>
  </w:style>
  <w:style w:type="paragraph" w:styleId="ListNumber">
    <w:name w:val="List Number"/>
    <w:basedOn w:val="Normal"/>
    <w:uiPriority w:val="99"/>
    <w:unhideWhenUsed/>
    <w:rsid w:val="00326f90"/>
    <w:pPr>
      <w:numPr>
        <w:ilvl w:val="0"/>
        <w:numId w:val="4"/>
      </w:numPr>
      <w:spacing w:before="0" w:after="200"/>
      <w:contextualSpacing/>
    </w:pPr>
    <w:rPr/>
  </w:style>
  <w:style w:type="paragraph" w:styleId="ListNumber2">
    <w:name w:val="List Number 2"/>
    <w:basedOn w:val="Normal"/>
    <w:uiPriority w:val="99"/>
    <w:unhideWhenUsed/>
    <w:rsid w:val="0029639d"/>
    <w:pPr>
      <w:numPr>
        <w:ilvl w:val="0"/>
        <w:numId w:val="5"/>
      </w:numPr>
      <w:spacing w:before="0" w:after="200"/>
      <w:contextualSpacing/>
    </w:pPr>
    <w:rPr/>
  </w:style>
  <w:style w:type="paragraph" w:styleId="ListNumber3">
    <w:name w:val="List Number 3"/>
    <w:basedOn w:val="Normal"/>
    <w:uiPriority w:val="99"/>
    <w:unhideWhenUsed/>
    <w:rsid w:val="0029639d"/>
    <w:pPr>
      <w:numPr>
        <w:ilvl w:val="0"/>
        <w:numId w:val="6"/>
      </w:numPr>
      <w:spacing w:before="0" w:after="200"/>
      <w:contextualSpacing/>
    </w:pPr>
    <w:rPr/>
  </w:style>
  <w:style w:type="paragraph" w:styleId="ListContinue">
    <w:name w:val="List Continue"/>
    <w:basedOn w:val="Normal"/>
    <w:uiPriority w:val="99"/>
    <w:unhideWhenUsed/>
    <w:rsid w:val="0029639d"/>
    <w:pPr>
      <w:spacing w:before="0" w:after="120"/>
      <w:ind w:left="360"/>
      <w:contextualSpacing/>
    </w:pPr>
    <w:rPr/>
  </w:style>
  <w:style w:type="paragraph" w:styleId="ListContinue2">
    <w:name w:val="List Continue 2"/>
    <w:basedOn w:val="Normal"/>
    <w:uiPriority w:val="99"/>
    <w:unhideWhenUsed/>
    <w:rsid w:val="0029639d"/>
    <w:pPr>
      <w:spacing w:before="0" w:after="120"/>
      <w:ind w:left="720"/>
      <w:contextualSpacing/>
    </w:pPr>
    <w:rPr/>
  </w:style>
  <w:style w:type="paragraph" w:styleId="ListContinue3">
    <w:name w:val="List Continue 3"/>
    <w:basedOn w:val="Normal"/>
    <w:uiPriority w:val="99"/>
    <w:unhideWhenUsed/>
    <w:rsid w:val="0029639d"/>
    <w:pPr>
      <w:spacing w:before="0" w:after="120"/>
      <w:ind w:left="1080"/>
      <w:contextualSpacing/>
    </w:pPr>
    <w:rPr/>
  </w:style>
  <w:style w:type="paragraph" w:styleId="macro">
    <w:name w:val="macro"/>
    <w:link w:val="MacroTextChar"/>
    <w:uiPriority w:val="99"/>
    <w:unhideWhenUsed/>
    <w:qFormat/>
    <w:rsid w:val="0029639d"/>
    <w:pPr>
      <w:widowControl/>
      <w:tabs>
        <w:tab w:val="clear" w:pos="720"/>
        <w:tab w:val="left" w:pos="576" w:leader="none"/>
        <w:tab w:val="left" w:pos="1152" w:leader="none"/>
        <w:tab w:val="left" w:pos="1728" w:leader="none"/>
        <w:tab w:val="left" w:pos="2304" w:leader="none"/>
        <w:tab w:val="left" w:pos="2880" w:leader="none"/>
        <w:tab w:val="left" w:pos="3456" w:leader="none"/>
        <w:tab w:val="left" w:pos="4032" w:leader="none"/>
      </w:tabs>
      <w:suppressAutoHyphens w:val="true"/>
      <w:bidi w:val="0"/>
      <w:spacing w:lineRule="auto" w:line="276" w:before="0" w:after="200"/>
      <w:jc w:val="left"/>
    </w:pPr>
    <w:rPr>
      <w:rFonts w:ascii="Courier" w:hAnsi="Courier" w:eastAsia="" w:cs="" w:cstheme="minorBidi" w:eastAsiaTheme="minorEastAsia"/>
      <w:color w:val="auto"/>
      <w:kern w:val="0"/>
      <w:sz w:val="20"/>
      <w:szCs w:val="20"/>
      <w:lang w:val="en-US" w:eastAsia="en-US" w:bidi="ar-SA"/>
    </w:rPr>
  </w:style>
  <w:style w:type="paragraph" w:styleId="Quote">
    <w:name w:val="Quote"/>
    <w:basedOn w:val="Normal"/>
    <w:next w:val="Normal"/>
    <w:link w:val="QuoteChar"/>
    <w:uiPriority w:val="29"/>
    <w:qFormat/>
    <w:rsid w:val="00fc693f"/>
    <w:pPr/>
    <w:rPr>
      <w:i/>
      <w:iCs/>
      <w:color w:themeColor="text1" w:val="000000"/>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themeColor="accent1" w:val="4F81BD"/>
    </w:rPr>
  </w:style>
  <w:style w:type="paragraph" w:styleId="IndexHeading">
    <w:name w:val="Index Heading"/>
    <w:basedOn w:val="Heading"/>
    <w:pPr/>
    <w:rPr/>
  </w:style>
  <w:style w:type="paragraph" w:styleId="TOCHeading">
    <w:name w:val="TOC Heading"/>
    <w:basedOn w:val="Heading1"/>
    <w:next w:val="Normal"/>
    <w:uiPriority w:val="39"/>
    <w:semiHidden/>
    <w:unhideWhenUsed/>
    <w:qFormat/>
    <w:rsid w:val="00fc693f"/>
    <w:pPr>
      <w:outlineLvl w:val="9"/>
    </w:pPr>
    <w:rPr/>
  </w:style>
  <w:style w:type="paragraph" w:styleId="TOC1">
    <w:name w:val="TOC 1"/>
    <w:basedOn w:val="Index"/>
    <w:pPr>
      <w:tabs>
        <w:tab w:val="clear" w:pos="720"/>
        <w:tab w:val="right" w:pos="9412" w:leader="dot"/>
      </w:tabs>
      <w:ind w:hanging="0" w:left="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themeColor="text1" w:themeShade="bf"/>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themeColor="accent1" w:themeShade="bf"/>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themeColor="accent2" w:themeShade="bf"/>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themeColor="accent3" w:themeShade="bf"/>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themeColor="accent4" w:themeShade="bf"/>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themeColor="accent5" w:themeShade="bf"/>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themeColor="accent6" w:themeShade="bf"/>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Pr/>
    </w:tblStylePr>
    <w:tblStylePr w:type="lastCol">
      <w:rPr>
        <w:b/>
        <w:bCs/>
      </w:rPr>
      <w:tbl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Pr/>
    </w:tblStylePr>
    <w:tblStylePr w:type="lastCol">
      <w:rPr>
        <w:b/>
        <w:bCs/>
      </w:rPr>
      <w:tbl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Pr/>
    </w:tblStylePr>
    <w:tblStylePr w:type="lastCol">
      <w:rPr>
        <w:b/>
        <w:bCs/>
      </w:rPr>
      <w:tbl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Pr/>
    </w:tblStylePr>
    <w:tblStylePr w:type="lastCol">
      <w:rPr>
        <w:b/>
        <w:bCs/>
      </w:rPr>
      <w:tbl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Pr/>
    </w:tblStylePr>
    <w:tblStylePr w:type="lastCol">
      <w:rPr>
        <w:b/>
        <w:bCs/>
      </w:rPr>
      <w:tbl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Pr/>
    </w:tblStylePr>
    <w:tblStylePr w:type="lastCol">
      <w:rPr>
        <w:b/>
        <w:bCs/>
      </w:rPr>
      <w:tbl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Pr/>
    </w:tblStylePr>
    <w:tblStylePr w:type="lastCol">
      <w:rPr>
        <w:b/>
        <w:bCs/>
      </w:rPr>
      <w:tbl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404040" w:themeColor="text1" w:sz="8" w:space="0"/>
          <w:left w:val="single" w:color="404040" w:themeColor="text1" w:sz="8" w:space="0"/>
          <w:bottom w:val="single" w:color="404040" w:themeColor="text1" w:sz="8" w:space="0"/>
          <w:right w:val="single" w:color="404040" w:themeColor="text1"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sz="6" w:space="0"/>
          <w:left w:val="single" w:color="404040" w:themeColor="text1" w:sz="8" w:space="0"/>
          <w:bottom w:val="single" w:color="404040" w:themeColor="text1" w:sz="8" w:space="0"/>
          <w:right w:val="single" w:color="404040" w:themeColor="text1" w:sz="8" w:space="0"/>
          <w:insideH w:val="nil"/>
          <w:insideV w:val="nil"/>
        </w:tcBorders>
      </w:tcPr>
    </w:tblStylePr>
    <w:tblStylePr w:type="firstCol">
      <w:rPr>
        <w:b/>
        <w:bCs/>
      </w:rPr>
      <w:tblPr/>
    </w:tblStylePr>
    <w:tblStylePr w:type="lastCol">
      <w:rPr>
        <w:b/>
        <w:bCs/>
      </w:rPr>
      <w:tbl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BA0CD" w:themeColor="accent1" w:sz="8" w:space="0"/>
          <w:left w:val="single" w:color="7BA0CD" w:themeColor="accent1" w:sz="8" w:space="0"/>
          <w:bottom w:val="single" w:color="7BA0CD" w:themeColor="accent1" w:sz="8" w:space="0"/>
          <w:right w:val="single" w:color="7BA0CD" w:themeColor="accent1"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sz="6" w:space="0"/>
          <w:left w:val="single" w:color="7BA0CD" w:themeColor="accent1" w:sz="8" w:space="0"/>
          <w:bottom w:val="single" w:color="7BA0CD" w:themeColor="accent1" w:sz="8" w:space="0"/>
          <w:right w:val="single" w:color="7BA0CD" w:themeColor="accent1"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CF7B79" w:themeColor="accent2" w:sz="8" w:space="0"/>
          <w:left w:val="single" w:color="CF7B79" w:themeColor="accent2" w:sz="8" w:space="0"/>
          <w:bottom w:val="single" w:color="CF7B79" w:themeColor="accent2" w:sz="8" w:space="0"/>
          <w:right w:val="single" w:color="CF7B79" w:themeColor="accent2"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sz="6" w:space="0"/>
          <w:left w:val="single" w:color="CF7B79" w:themeColor="accent2" w:sz="8" w:space="0"/>
          <w:bottom w:val="single" w:color="CF7B79" w:themeColor="accent2" w:sz="8" w:space="0"/>
          <w:right w:val="single" w:color="CF7B79" w:themeColor="accent2" w:sz="8" w:space="0"/>
          <w:insideH w:val="nil"/>
          <w:insideV w:val="nil"/>
        </w:tcBorders>
      </w:tcPr>
    </w:tblStylePr>
    <w:tblStylePr w:type="firstCol">
      <w:rPr>
        <w:b/>
        <w:bCs/>
      </w:rPr>
      <w:tblPr/>
    </w:tblStylePr>
    <w:tblStylePr w:type="lastCol">
      <w:rPr>
        <w:b/>
        <w:bCs/>
      </w:rPr>
      <w:tbl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B3CC82" w:themeColor="accent3" w:sz="8" w:space="0"/>
          <w:left w:val="single" w:color="B3CC82" w:themeColor="accent3" w:sz="8" w:space="0"/>
          <w:bottom w:val="single" w:color="B3CC82" w:themeColor="accent3" w:sz="8" w:space="0"/>
          <w:right w:val="single" w:color="B3CC82" w:themeColor="accent3"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sz="6" w:space="0"/>
          <w:left w:val="single" w:color="B3CC82" w:themeColor="accent3" w:sz="8" w:space="0"/>
          <w:bottom w:val="single" w:color="B3CC82" w:themeColor="accent3" w:sz="8" w:space="0"/>
          <w:right w:val="single" w:color="B3CC82" w:themeColor="accent3" w:sz="8" w:space="0"/>
          <w:insideH w:val="nil"/>
          <w:insideV w:val="nil"/>
        </w:tcBorders>
      </w:tcPr>
    </w:tblStylePr>
    <w:tblStylePr w:type="firstCol">
      <w:rPr>
        <w:b/>
        <w:bCs/>
      </w:rPr>
      <w:tblPr/>
    </w:tblStylePr>
    <w:tblStylePr w:type="lastCol">
      <w:rPr>
        <w:b/>
        <w:bCs/>
      </w:rPr>
      <w:tbl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9F8AB9" w:themeColor="accent4" w:sz="8" w:space="0"/>
          <w:left w:val="single" w:color="9F8AB9" w:themeColor="accent4" w:sz="8" w:space="0"/>
          <w:bottom w:val="single" w:color="9F8AB9" w:themeColor="accent4" w:sz="8" w:space="0"/>
          <w:right w:val="single" w:color="9F8AB9" w:themeColor="accent4"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sz="6" w:space="0"/>
          <w:left w:val="single" w:color="9F8AB9" w:themeColor="accent4" w:sz="8" w:space="0"/>
          <w:bottom w:val="single" w:color="9F8AB9" w:themeColor="accent4" w:sz="8" w:space="0"/>
          <w:right w:val="single" w:color="9F8AB9" w:themeColor="accent4" w:sz="8" w:space="0"/>
          <w:insideH w:val="nil"/>
          <w:insideV w:val="nil"/>
        </w:tcBorders>
      </w:tcPr>
    </w:tblStylePr>
    <w:tblStylePr w:type="firstCol">
      <w:rPr>
        <w:b/>
        <w:bCs/>
      </w:rPr>
      <w:tblPr/>
    </w:tblStylePr>
    <w:tblStylePr w:type="lastCol">
      <w:rPr>
        <w:b/>
        <w:bCs/>
      </w:rPr>
      <w:tbl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78C0D4" w:themeColor="accent5" w:sz="8" w:space="0"/>
          <w:left w:val="single" w:color="78C0D4" w:themeColor="accent5" w:sz="8" w:space="0"/>
          <w:bottom w:val="single" w:color="78C0D4" w:themeColor="accent5" w:sz="8" w:space="0"/>
          <w:right w:val="single" w:color="78C0D4" w:themeColor="accent5"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sz="6" w:space="0"/>
          <w:left w:val="single" w:color="78C0D4" w:themeColor="accent5" w:sz="8" w:space="0"/>
          <w:bottom w:val="single" w:color="78C0D4" w:themeColor="accent5" w:sz="8" w:space="0"/>
          <w:right w:val="single" w:color="78C0D4" w:themeColor="accent5" w:sz="8" w:space="0"/>
          <w:insideH w:val="nil"/>
          <w:insideV w:val="nil"/>
        </w:tcBorders>
      </w:tcPr>
    </w:tblStylePr>
    <w:tblStylePr w:type="firstCol">
      <w:rPr>
        <w:b/>
        <w:bCs/>
      </w:rPr>
      <w:tblPr/>
    </w:tblStylePr>
    <w:tblStylePr w:type="lastCol">
      <w:rPr>
        <w:b/>
        <w:bCs/>
      </w:rPr>
      <w:tbl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F9B074" w:themeColor="accent6" w:sz="8" w:space="0"/>
          <w:left w:val="single" w:color="F9B074" w:themeColor="accent6" w:sz="8" w:space="0"/>
          <w:bottom w:val="single" w:color="F9B074" w:themeColor="accent6" w:sz="8" w:space="0"/>
          <w:right w:val="single" w:color="F9B074" w:themeColor="accent6"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sz="6" w:space="0"/>
          <w:left w:val="single" w:color="F9B074" w:themeColor="accent6" w:sz="8" w:space="0"/>
          <w:bottom w:val="single" w:color="F9B074" w:themeColor="accent6" w:sz="8" w:space="0"/>
          <w:right w:val="single" w:color="F9B074" w:themeColor="accent6" w:sz="8" w:space="0"/>
          <w:insideH w:val="nil"/>
          <w:insideV w:val="nil"/>
        </w:tcBorders>
      </w:tcPr>
    </w:tblStylePr>
    <w:tblStylePr w:type="firstCol">
      <w:rPr>
        <w:b/>
        <w:bCs/>
      </w:rPr>
      <w:tblPr/>
    </w:tblStylePr>
    <w:tblStylePr w:type="lastCol">
      <w:rPr>
        <w:b/>
        <w:bCs/>
      </w:rPr>
      <w:tbl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themeColor="text1"/>
    </w:rPr>
    <w:tblPr>
      <w:tblStyleRowBandSize w:val="1"/>
      <w:tblStyleColBandSize w:val="1"/>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themeColor="text2"/>
      </w:rPr>
      <w:tblPr/>
      <w:tcPr>
        <w:tcBorders>
          <w:top w:val="single" w:color="000000" w:themeColor="text1" w:sz="8" w:space="0"/>
          <w:bottom w:val="single" w:color="000000" w:themeColor="text1" w:sz="8" w:space="0"/>
        </w:tcBorders>
      </w:tcPr>
    </w:tblStylePr>
    <w:tblStylePr w:type="firstCol">
      <w:rPr>
        <w:b/>
        <w:bCs/>
      </w:rPr>
      <w:tbl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themeColor="text1"/>
    </w:rPr>
    <w:tblPr>
      <w:tblStyleRowBandSize w:val="1"/>
      <w:tblStyleColBandSize w:val="1"/>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themeColor="text2"/>
      </w:rPr>
      <w:tblPr/>
      <w:tcPr>
        <w:tcBorders>
          <w:top w:val="single" w:color="4F81BD" w:themeColor="accent1" w:sz="8" w:space="0"/>
          <w:bottom w:val="single" w:color="4F81BD" w:themeColor="accent1" w:sz="8" w:space="0"/>
        </w:tcBorders>
      </w:tcPr>
    </w:tblStylePr>
    <w:tblStylePr w:type="firstCol">
      <w:rPr>
        <w:b/>
        <w:bCs/>
      </w:rPr>
      <w:tbl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themeColor="text1"/>
    </w:rPr>
    <w:tblPr>
      <w:tblStyleRowBandSize w:val="1"/>
      <w:tblStyleColBandSize w:val="1"/>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themeColor="text2"/>
      </w:rPr>
      <w:tblPr/>
      <w:tcPr>
        <w:tcBorders>
          <w:top w:val="single" w:color="C0504D" w:themeColor="accent2" w:sz="8" w:space="0"/>
          <w:bottom w:val="single" w:color="C0504D" w:themeColor="accent2" w:sz="8" w:space="0"/>
        </w:tcBorders>
      </w:tcPr>
    </w:tblStylePr>
    <w:tblStylePr w:type="firstCol">
      <w:rPr>
        <w:b/>
        <w:bCs/>
      </w:rPr>
      <w:tbl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themeColor="text1"/>
    </w:rPr>
    <w:tblPr>
      <w:tblStyleRowBandSize w:val="1"/>
      <w:tblStyleColBandSize w:val="1"/>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themeColor="text2"/>
      </w:rPr>
      <w:tblPr/>
      <w:tcPr>
        <w:tcBorders>
          <w:top w:val="single" w:color="9BBB59" w:themeColor="accent3" w:sz="8" w:space="0"/>
          <w:bottom w:val="single" w:color="9BBB59" w:themeColor="accent3" w:sz="8" w:space="0"/>
        </w:tcBorders>
      </w:tcPr>
    </w:tblStylePr>
    <w:tblStylePr w:type="firstCol">
      <w:rPr>
        <w:b/>
        <w:bCs/>
      </w:rPr>
      <w:tbl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themeColor="text1"/>
    </w:rPr>
    <w:tblPr>
      <w:tblStyleRowBandSize w:val="1"/>
      <w:tblStyleColBandSize w:val="1"/>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themeColor="text2"/>
      </w:rPr>
      <w:tblPr/>
      <w:tcPr>
        <w:tcBorders>
          <w:top w:val="single" w:color="8064A2" w:themeColor="accent4" w:sz="8" w:space="0"/>
          <w:bottom w:val="single" w:color="8064A2" w:themeColor="accent4" w:sz="8" w:space="0"/>
        </w:tcBorders>
      </w:tcPr>
    </w:tblStylePr>
    <w:tblStylePr w:type="firstCol">
      <w:rPr>
        <w:b/>
        <w:bCs/>
      </w:rPr>
      <w:tbl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themeColor="text1"/>
    </w:rPr>
    <w:tblPr>
      <w:tblStyleRowBandSize w:val="1"/>
      <w:tblStyleColBandSize w:val="1"/>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themeColor="text2"/>
      </w:rPr>
      <w:tblPr/>
      <w:tcPr>
        <w:tcBorders>
          <w:top w:val="single" w:color="4BACC6" w:themeColor="accent5" w:sz="8" w:space="0"/>
          <w:bottom w:val="single" w:color="4BACC6" w:themeColor="accent5" w:sz="8" w:space="0"/>
        </w:tcBorders>
      </w:tcPr>
    </w:tblStylePr>
    <w:tblStylePr w:type="firstCol">
      <w:rPr>
        <w:b/>
        <w:bCs/>
      </w:rPr>
      <w:tbl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themeColor="text1"/>
    </w:rPr>
    <w:tblPr>
      <w:tblStyleRowBandSize w:val="1"/>
      <w:tblStyleColBandSize w:val="1"/>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themeColor="text2"/>
      </w:rPr>
      <w:tblPr/>
      <w:tcPr>
        <w:tcBorders>
          <w:top w:val="single" w:color="F79646" w:themeColor="accent6" w:sz="8" w:space="0"/>
          <w:bottom w:val="single" w:color="F79646" w:themeColor="accent6" w:sz="8" w:space="0"/>
        </w:tcBorders>
      </w:tcPr>
    </w:tblStylePr>
    <w:tblStylePr w:type="firstCol">
      <w:rPr>
        <w:b/>
        <w:bCs/>
      </w:rPr>
      <w:tbl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CellMar>
        <w:top w:w="0" w:type="dxa"/>
        <w:left w:w="108" w:type="dxa"/>
        <w:bottom w:w="0" w:type="dxa"/>
        <w:right w:w="108" w:type="dxa"/>
      </w:tblCellMar>
    </w:tblPr>
    <w:tcPr>
      <w:shd w:val="clear" w:color="auto" w:fill="C0C0C0" w:themeFill="text1" w:themeFillTint="3f"/>
    </w:tcPr>
    <w:tblStylePr w:type="firstRow">
      <w:rPr>
        <w:b/>
        <w:bCs/>
      </w:rPr>
      <w:tblPr/>
    </w:tblStylePr>
    <w:tblStylePr w:type="lastRow">
      <w:rPr>
        <w:b/>
        <w:bCs/>
      </w:rPr>
      <w:tblPr/>
      <w:tcPr>
        <w:tcBorders>
          <w:top w:val="single" w:color="404040" w:themeColor="text1" w:sz="18" w:space="0"/>
        </w:tcBorders>
      </w:tcPr>
    </w:tblStylePr>
    <w:tblStylePr w:type="firstCol">
      <w:rPr>
        <w:b/>
        <w:bCs/>
      </w:rPr>
      <w:tblPr/>
    </w:tblStylePr>
    <w:tblStylePr w:type="lastCol">
      <w:rPr>
        <w:b/>
        <w:bCs/>
      </w:rPr>
      <w:tbl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Pr/>
    </w:tblStylePr>
    <w:tblStylePr w:type="lastRow">
      <w:rPr>
        <w:b/>
        <w:bCs/>
      </w:rPr>
      <w:tblPr/>
      <w:tcPr>
        <w:tcBorders>
          <w:top w:val="single" w:color="7BA0CD" w:themeColor="accent1" w:sz="18" w:space="0"/>
        </w:tcBorders>
      </w:tcPr>
    </w:tblStylePr>
    <w:tblStylePr w:type="firstCol">
      <w:rPr>
        <w:b/>
        <w:bCs/>
      </w:rPr>
      <w:tblPr/>
    </w:tblStylePr>
    <w:tblStylePr w:type="lastCol">
      <w:rPr>
        <w:b/>
        <w:bCs/>
      </w:rPr>
      <w:tbl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2" w:themeFill="accent2" w:themeFillTint="3f"/>
    </w:tcPr>
    <w:tblStylePr w:type="firstRow">
      <w:rPr>
        <w:b/>
        <w:bCs/>
      </w:rPr>
      <w:tblPr/>
    </w:tblStylePr>
    <w:tblStylePr w:type="lastRow">
      <w:rPr>
        <w:b/>
        <w:bCs/>
      </w:rPr>
      <w:tblPr/>
      <w:tcPr>
        <w:tcBorders>
          <w:top w:val="single" w:color="CF7B79" w:themeColor="accent2" w:sz="18" w:space="0"/>
        </w:tcBorders>
      </w:tcPr>
    </w:tblStylePr>
    <w:tblStylePr w:type="firstCol">
      <w:rPr>
        <w:b/>
        <w:bCs/>
      </w:rPr>
      <w:tblPr/>
    </w:tblStylePr>
    <w:tblStylePr w:type="lastCol">
      <w:rPr>
        <w:b/>
        <w:bCs/>
      </w:rPr>
      <w:tbl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Pr/>
    </w:tblStylePr>
    <w:tblStylePr w:type="lastRow">
      <w:rPr>
        <w:b/>
        <w:bCs/>
      </w:rPr>
      <w:tblPr/>
      <w:tcPr>
        <w:tcBorders>
          <w:top w:val="single" w:color="B3CC82" w:themeColor="accent3" w:sz="18" w:space="0"/>
        </w:tcBorders>
      </w:tcPr>
    </w:tblStylePr>
    <w:tblStylePr w:type="firstCol">
      <w:rPr>
        <w:b/>
        <w:bCs/>
      </w:rPr>
      <w:tblPr/>
    </w:tblStylePr>
    <w:tblStylePr w:type="lastCol">
      <w:rPr>
        <w:b/>
        <w:bCs/>
      </w:rPr>
      <w:tbl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Pr/>
    </w:tblStylePr>
    <w:tblStylePr w:type="lastRow">
      <w:rPr>
        <w:b/>
        <w:bCs/>
      </w:rPr>
      <w:tblPr/>
      <w:tcPr>
        <w:tcBorders>
          <w:top w:val="single" w:color="9F8AB9" w:themeColor="accent4" w:sz="18" w:space="0"/>
        </w:tcBorders>
      </w:tcPr>
    </w:tblStylePr>
    <w:tblStylePr w:type="firstCol">
      <w:rPr>
        <w:b/>
        <w:bCs/>
      </w:rPr>
      <w:tblPr/>
    </w:tblStylePr>
    <w:tblStylePr w:type="lastCol">
      <w:rPr>
        <w:b/>
        <w:bCs/>
      </w:rPr>
      <w:tbl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1" w:themeFill="accent5" w:themeFillTint="3f"/>
    </w:tcPr>
    <w:tblStylePr w:type="firstRow">
      <w:rPr>
        <w:b/>
        <w:bCs/>
      </w:rPr>
      <w:tblPr/>
    </w:tblStylePr>
    <w:tblStylePr w:type="lastRow">
      <w:rPr>
        <w:b/>
        <w:bCs/>
      </w:rPr>
      <w:tblPr/>
      <w:tcPr>
        <w:tcBorders>
          <w:top w:val="single" w:color="78C0D4" w:themeColor="accent5" w:sz="18" w:space="0"/>
        </w:tcBorders>
      </w:tcPr>
    </w:tblStylePr>
    <w:tblStylePr w:type="firstCol">
      <w:rPr>
        <w:b/>
        <w:bCs/>
      </w:rPr>
      <w:tblPr/>
    </w:tblStylePr>
    <w:tblStylePr w:type="lastCol">
      <w:rPr>
        <w:b/>
        <w:bCs/>
      </w:rPr>
      <w:tbl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4D0" w:themeFill="accent6" w:themeFillTint="3f"/>
    </w:tcPr>
    <w:tblStylePr w:type="firstRow">
      <w:rPr>
        <w:b/>
        <w:bCs/>
      </w:rPr>
      <w:tblPr/>
    </w:tblStylePr>
    <w:tblStylePr w:type="lastRow">
      <w:rPr>
        <w:b/>
        <w:bCs/>
      </w:rPr>
      <w:tblPr/>
      <w:tcPr>
        <w:tcBorders>
          <w:top w:val="single" w:color="F9B074" w:themeColor="accent6" w:sz="18" w:space="0"/>
        </w:tcBorders>
      </w:tcPr>
    </w:tblStylePr>
    <w:tblStylePr w:type="firstCol">
      <w:rPr>
        <w:b/>
        <w:bCs/>
      </w:rPr>
      <w:tblPr/>
    </w:tblStylePr>
    <w:tblStylePr w:type="lastCol">
      <w:rPr>
        <w:b/>
        <w:bCs/>
      </w:rPr>
      <w:tbl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C0C0C0" w:themeFill="text1" w:themeFillTint="3f"/>
    </w:tcPr>
    <w:tblStylePr w:type="firstRow">
      <w:rPr>
        <w:b/>
        <w:bCs/>
        <w:color w:themeColor="text1"/>
      </w:rPr>
      <w:tblPr/>
      <w:tcPr>
        <w:shd w:val="clear" w:color="auto" w:fill="E6E6E6" w:themeFill="tex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themeColor="text1"/>
      </w:rPr>
      <w:tblPr/>
      <w:tcPr>
        <w:shd w:val="clear" w:color="auto" w:fill="EDF2F8" w:themeFill="accent1"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2" w:themeFill="accent2" w:themeFillTint="3f"/>
    </w:tcPr>
    <w:tblStylePr w:type="firstRow">
      <w:rPr>
        <w:b/>
        <w:bCs/>
        <w:color w:themeColor="text1"/>
      </w:rPr>
      <w:tblPr/>
      <w:tcPr>
        <w:shd w:val="clear" w:color="auto" w:fill="F8EDED" w:themeFill="accent2"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themeColor="text1"/>
      </w:rPr>
      <w:tblPr/>
      <w:tcPr>
        <w:shd w:val="clear" w:color="auto" w:fill="F5F8EE" w:themeFill="accent3"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themeColor="text1"/>
      </w:rPr>
      <w:tblPr/>
      <w:tcPr>
        <w:shd w:val="clear" w:color="auto" w:fill="F2EFF6" w:themeFill="accent4"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1" w:themeFill="accent5" w:themeFillTint="3f"/>
    </w:tcPr>
    <w:tblStylePr w:type="firstRow">
      <w:rPr>
        <w:b/>
        <w:bCs/>
        <w:color w:themeColor="text1"/>
      </w:rPr>
      <w:tblPr/>
      <w:tcPr>
        <w:shd w:val="clear" w:color="auto" w:fill="EDF6F9" w:themeFill="accent5"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4D0" w:themeFill="accent6" w:themeFillTint="3f"/>
    </w:tcPr>
    <w:tblStylePr w:type="firstRow">
      <w:rPr>
        <w:b/>
        <w:bCs/>
        <w:color w:themeColor="text1"/>
      </w:rPr>
      <w:tblPr/>
      <w:tcPr>
        <w:shd w:val="clear" w:color="auto" w:fill="FEF4EC" w:themeFill="accent6" w:themeFillTint="19"/>
      </w:tcPr>
    </w:tblStylePr>
    <w:tblStylePr w:type="lastRow">
      <w:rPr>
        <w:b/>
        <w:bCs/>
        <w:color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C0C0C0" w:themeFill="tex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2" w:themeFill="accent2"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1" w:themeFill="accent5"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4D0" w:themeFill="accent6" w:themeFillTint="3f"/>
    </w:tcPr>
    <w:tblStylePr w:type="firstRow">
      <w:rPr>
        <w:b/>
        <w:bCs/>
        <w:i w:val="0"/>
        <w:color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color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color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color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themeColor="background1"/>
    </w:rPr>
    <w:tblPr>
      <w:tblStyleRowBandSize w:val="1"/>
      <w:tblStyleColBandSize w:val="1"/>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000000" w:themeFill="text1" w:themeFillShade="99"/>
      </w:tcPr>
    </w:tblStylePr>
    <w:tblStylePr w:type="firstCol">
      <w:rPr>
        <w:color w:themeColor="background1"/>
      </w:rPr>
      <w:tblPr/>
      <w:tcPr>
        <w:tcBorders>
          <w:top w:val="nil"/>
          <w:left w:val="nil"/>
          <w:bottom w:val="nil"/>
          <w:right w:val="nil"/>
          <w:insideH w:val="single" w:color="000000" w:themeColor="text1" w:sz="4" w:space="0"/>
          <w:insideV w:val="nil"/>
        </w:tcBorders>
        <w:shd w:val="clear" w:color="auto" w:fill="000000" w:themeFill="text1" w:themeFillShade="99"/>
      </w:tcPr>
    </w:tblStylePr>
    <w:tblStylePr w:type="lastCol">
      <w:rPr>
        <w:color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themeColor="text1"/>
      </w:rPr>
      <w:tblPr/>
    </w:tblStylePr>
    <w:tblStylePr w:type="nwCell">
      <w:rPr>
        <w:color w:themeColor="text1"/>
      </w:rPr>
      <w:tblPr/>
    </w:tblStylePr>
  </w:style>
  <w:style w:type="table" w:styleId="ColorfulShading-Accent1">
    <w:name w:val="Colorful Shading Accent 1"/>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C4C74" w:themeFill="accent1" w:themeFillShade="99"/>
      </w:tcPr>
    </w:tblStylePr>
    <w:tblStylePr w:type="firstCol">
      <w:rPr>
        <w:color w:themeColor="background1"/>
      </w:rPr>
      <w:tblPr/>
      <w:tcPr>
        <w:tcBorders>
          <w:top w:val="nil"/>
          <w:left w:val="nil"/>
          <w:bottom w:val="nil"/>
          <w:right w:val="nil"/>
          <w:insideH w:val="single" w:color="2C4C74" w:themeColor="accent1" w:sz="4" w:space="0"/>
          <w:insideV w:val="nil"/>
        </w:tcBorders>
        <w:shd w:val="clear" w:color="auto" w:fill="2C4C74" w:themeFill="accent1" w:themeFillShade="99"/>
      </w:tcPr>
    </w:tblStylePr>
    <w:tblStylePr w:type="lastCol">
      <w:rPr>
        <w:color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themeColor="text1"/>
      </w:rPr>
      <w:tblPr/>
    </w:tblStylePr>
    <w:tblStylePr w:type="nwCell">
      <w:rPr>
        <w:color w:themeColor="text1"/>
      </w:rPr>
      <w:tblPr/>
    </w:tblStylePr>
  </w:style>
  <w:style w:type="table" w:styleId="ColorfulShading-Accent2">
    <w:name w:val="Colorful Shading Accent 2"/>
    <w:basedOn w:val="TableNormal"/>
    <w:uiPriority w:val="71"/>
    <w:rsid w:val="00cb0664"/>
    <w:pPr>
      <w:spacing w:after="0" w:line="240" w:lineRule="auto"/>
    </w:pPr>
    <w:rPr>
      <w:color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772C2A" w:themeFill="accent2" w:themeFillShade="99"/>
      </w:tcPr>
    </w:tblStylePr>
    <w:tblStylePr w:type="firstCol">
      <w:rPr>
        <w:color w:themeColor="background1"/>
      </w:rPr>
      <w:tblPr/>
      <w:tcPr>
        <w:tcBorders>
          <w:top w:val="nil"/>
          <w:left w:val="nil"/>
          <w:bottom w:val="nil"/>
          <w:right w:val="nil"/>
          <w:insideH w:val="single" w:color="772C2A" w:themeColor="accent2" w:sz="4" w:space="0"/>
          <w:insideV w:val="nil"/>
        </w:tcBorders>
        <w:shd w:val="clear" w:color="auto" w:fill="772C2A" w:themeFill="accent2" w:themeFillShade="99"/>
      </w:tcPr>
    </w:tblStylePr>
    <w:tblStylePr w:type="lastCol">
      <w:rPr>
        <w:color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themeColor="text1"/>
      </w:rPr>
      <w:tblPr/>
    </w:tblStylePr>
    <w:tblStylePr w:type="nwCell">
      <w:rPr>
        <w:color w:themeColor="text1"/>
      </w:rPr>
      <w:tblPr/>
    </w:tblStylePr>
  </w:style>
  <w:style w:type="table" w:styleId="ColorfulShading-Accent3">
    <w:name w:val="Colorful Shading Accent 3"/>
    <w:basedOn w:val="TableNormal"/>
    <w:uiPriority w:val="71"/>
    <w:rsid w:val="00cb0664"/>
    <w:pPr>
      <w:spacing w:after="0" w:line="240" w:lineRule="auto"/>
    </w:pPr>
    <w:rPr>
      <w:color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5E7530" w:themeFill="accent3" w:themeFillShade="99"/>
      </w:tcPr>
    </w:tblStylePr>
    <w:tblStylePr w:type="firstCol">
      <w:rPr>
        <w:color w:themeColor="background1"/>
      </w:rPr>
      <w:tblPr/>
      <w:tcPr>
        <w:tcBorders>
          <w:top w:val="nil"/>
          <w:left w:val="nil"/>
          <w:bottom w:val="nil"/>
          <w:right w:val="nil"/>
          <w:insideH w:val="single" w:color="5E7530" w:themeColor="accent3" w:sz="4" w:space="0"/>
          <w:insideV w:val="nil"/>
        </w:tcBorders>
        <w:shd w:val="clear" w:color="auto" w:fill="5E7530" w:themeFill="accent3" w:themeFillShade="99"/>
      </w:tcPr>
    </w:tblStylePr>
    <w:tblStylePr w:type="lastCol">
      <w:rPr>
        <w:color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4C3B62" w:themeFill="accent4" w:themeFillShade="99"/>
      </w:tcPr>
    </w:tblStylePr>
    <w:tblStylePr w:type="firstCol">
      <w:rPr>
        <w:color w:themeColor="background1"/>
      </w:rPr>
      <w:tblPr/>
      <w:tcPr>
        <w:tcBorders>
          <w:top w:val="nil"/>
          <w:left w:val="nil"/>
          <w:bottom w:val="nil"/>
          <w:right w:val="nil"/>
          <w:insideH w:val="single" w:color="4C3B62" w:themeColor="accent4" w:sz="4" w:space="0"/>
          <w:insideV w:val="nil"/>
        </w:tcBorders>
        <w:shd w:val="clear" w:color="auto" w:fill="4C3B62" w:themeFill="accent4" w:themeFillShade="99"/>
      </w:tcPr>
    </w:tblStylePr>
    <w:tblStylePr w:type="lastCol">
      <w:rPr>
        <w:color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themeColor="text1"/>
      </w:rPr>
      <w:tblPr/>
    </w:tblStylePr>
    <w:tblStylePr w:type="nwCell">
      <w:rPr>
        <w:color w:themeColor="text1"/>
      </w:rPr>
      <w:tblPr/>
    </w:tblStylePr>
  </w:style>
  <w:style w:type="table" w:styleId="ColorfulShading-Accent5">
    <w:name w:val="Colorful Shading Accent 5"/>
    <w:basedOn w:val="TableNormal"/>
    <w:uiPriority w:val="71"/>
    <w:rsid w:val="00cb0664"/>
    <w:pPr>
      <w:spacing w:after="0" w:line="240" w:lineRule="auto"/>
    </w:pPr>
    <w:rPr>
      <w:color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276A7C" w:themeFill="accent5" w:themeFillShade="99"/>
      </w:tcPr>
    </w:tblStylePr>
    <w:tblStylePr w:type="firstCol">
      <w:rPr>
        <w:color w:themeColor="background1"/>
      </w:rPr>
      <w:tblPr/>
      <w:tcPr>
        <w:tcBorders>
          <w:top w:val="nil"/>
          <w:left w:val="nil"/>
          <w:bottom w:val="nil"/>
          <w:right w:val="nil"/>
          <w:insideH w:val="single" w:color="276A7C" w:themeColor="accent5" w:sz="4" w:space="0"/>
          <w:insideV w:val="nil"/>
        </w:tcBorders>
        <w:shd w:val="clear" w:color="auto" w:fill="276A7C" w:themeFill="accent5" w:themeFillShade="99"/>
      </w:tcPr>
    </w:tblStylePr>
    <w:tblStylePr w:type="lastCol">
      <w:rPr>
        <w:color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themeColor="text1"/>
      </w:rPr>
      <w:tblPr/>
    </w:tblStylePr>
    <w:tblStylePr w:type="nwCell">
      <w:rPr>
        <w:color w:themeColor="text1"/>
      </w:rPr>
      <w:tblPr/>
    </w:tblStylePr>
  </w:style>
  <w:style w:type="table" w:styleId="ColorfulShading-Accent6">
    <w:name w:val="Colorful Shading Accent 6"/>
    <w:basedOn w:val="TableNormal"/>
    <w:uiPriority w:val="71"/>
    <w:rsid w:val="00cb0664"/>
    <w:pPr>
      <w:spacing w:after="0" w:line="240" w:lineRule="auto"/>
    </w:pPr>
    <w:rPr>
      <w:color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themeColor="background1"/>
      </w:rPr>
      <w:tblPr/>
      <w:tcPr>
        <w:tcBorders>
          <w:top w:val="single" w:color="FFFFFF" w:themeColor="background1" w:sz="6" w:space="0"/>
        </w:tcBorders>
        <w:shd w:val="clear" w:color="auto" w:fill="B65608" w:themeFill="accent6" w:themeFillShade="99"/>
      </w:tcPr>
    </w:tblStylePr>
    <w:tblStylePr w:type="firstCol">
      <w:rPr>
        <w:color w:themeColor="background1"/>
      </w:rPr>
      <w:tblPr/>
      <w:tcPr>
        <w:tcBorders>
          <w:top w:val="nil"/>
          <w:left w:val="nil"/>
          <w:bottom w:val="nil"/>
          <w:right w:val="nil"/>
          <w:insideH w:val="single" w:color="B65608" w:themeColor="accent6" w:sz="4" w:space="0"/>
          <w:insideV w:val="nil"/>
        </w:tcBorders>
        <w:shd w:val="clear" w:color="auto" w:fill="B65608" w:themeFill="accent6" w:themeFillShade="99"/>
      </w:tcPr>
    </w:tblStylePr>
    <w:tblStylePr w:type="lastCol">
      <w:rPr>
        <w:color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themeColor="text1"/>
      </w:rPr>
      <w:tblPr/>
    </w:tblStylePr>
    <w:tblStylePr w:type="nwCell">
      <w:rPr>
        <w:color w:themeColor="text1"/>
      </w:rPr>
      <w:tblPr/>
    </w:tblStylePr>
  </w:style>
  <w:style w:type="table" w:styleId="ColorfulList">
    <w:name w:val="Colorful List"/>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6E6E6" w:themeFill="tex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2F8" w:themeFill="accent1"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8EDED" w:themeFill="accent2" w:themeFillTint="19"/>
    </w:tcPr>
    <w:tblStylePr w:type="firstRow">
      <w:rPr>
        <w:b/>
        <w:bCs/>
        <w:color w:themeColor="background1"/>
      </w:rPr>
      <w:tblPr/>
      <w:tcPr>
        <w:tcBorders>
          <w:bottom w:val="single" w:color="FFFFFF" w:themeColor="background1" w:sz="12" w:space="0"/>
        </w:tcBorders>
        <w:shd w:val="clear" w:color="auto" w:fill="9E3A38" w:themeFill="accent2" w:themeFillShade="cc"/>
      </w:tcPr>
    </w:tblStylePr>
    <w:tblStylePr w:type="lastRow">
      <w:rPr>
        <w:b/>
        <w:bCs/>
        <w:color w:themeColor="accent2"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5F8EE" w:themeFill="accent3" w:themeFillTint="19"/>
    </w:tcPr>
    <w:tblStylePr w:type="firstRow">
      <w:rPr>
        <w:b/>
        <w:bCs/>
        <w:color w:themeColor="background1"/>
      </w:rPr>
      <w:tblPr/>
      <w:tcPr>
        <w:tcBorders>
          <w:bottom w:val="single" w:color="FFFFFF" w:themeColor="background1" w:sz="12" w:space="0"/>
        </w:tcBorders>
        <w:shd w:val="clear" w:color="auto" w:fill="664E82" w:themeFill="accent4" w:themeFillShade="cc"/>
      </w:tcPr>
    </w:tblStylePr>
    <w:tblStylePr w:type="lastRow">
      <w:rPr>
        <w:b/>
        <w:bCs/>
        <w:color w:themeColor="accent4"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2EFF6" w:themeFill="accent4" w:themeFillTint="19"/>
    </w:tcPr>
    <w:tblStylePr w:type="firstRow">
      <w:rPr>
        <w:b/>
        <w:bCs/>
        <w:color w:themeColor="background1"/>
      </w:rPr>
      <w:tblPr/>
      <w:tcPr>
        <w:tcBorders>
          <w:bottom w:val="single" w:color="FFFFFF" w:themeColor="background1" w:sz="12" w:space="0"/>
        </w:tcBorders>
        <w:shd w:val="clear" w:color="auto" w:fill="7E9C40" w:themeFill="accent3" w:themeFillShade="cc"/>
      </w:tcPr>
    </w:tblStylePr>
    <w:tblStylePr w:type="lastRow">
      <w:rPr>
        <w:b/>
        <w:bCs/>
        <w:color w:themeColor="accent3"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EDF6F9" w:themeFill="accent5" w:themeFillTint="19"/>
    </w:tcPr>
    <w:tblStylePr w:type="firstRow">
      <w:rPr>
        <w:b/>
        <w:bCs/>
        <w:color w:themeColor="background1"/>
      </w:rPr>
      <w:tblPr/>
      <w:tcPr>
        <w:tcBorders>
          <w:bottom w:val="single" w:color="FFFFFF" w:themeColor="background1" w:sz="12" w:space="0"/>
        </w:tcBorders>
        <w:shd w:val="clear" w:color="auto" w:fill="F2730A" w:themeFill="accent6" w:themeFillShade="cc"/>
      </w:tcPr>
    </w:tblStylePr>
    <w:tblStylePr w:type="lastRow">
      <w:rPr>
        <w:b/>
        <w:bCs/>
        <w:color w:themeColor="accent6"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themeColor="text1"/>
    </w:rPr>
    <w:tblPr>
      <w:tblStyleRowBandSize w:val="1"/>
      <w:tblStyleColBandSize w:val="1"/>
      <w:tblCellMar>
        <w:top w:w="0" w:type="dxa"/>
        <w:left w:w="108" w:type="dxa"/>
        <w:bottom w:w="0" w:type="dxa"/>
        <w:right w:w="108" w:type="dxa"/>
      </w:tblCellMar>
    </w:tblPr>
    <w:tcPr>
      <w:shd w:val="clear" w:color="auto" w:fill="FEF4EC" w:themeFill="accent6" w:themeFillTint="19"/>
    </w:tcPr>
    <w:tblStylePr w:type="firstRow">
      <w:rPr>
        <w:b/>
        <w:bCs/>
        <w:color w:themeColor="background1"/>
      </w:rPr>
      <w:tblPr/>
      <w:tcPr>
        <w:tcBorders>
          <w:bottom w:val="single" w:color="FFFFFF" w:themeColor="background1" w:sz="12" w:space="0"/>
        </w:tcBorders>
        <w:shd w:val="clear" w:color="auto" w:fill="348DA5" w:themeFill="accent5" w:themeFillShade="cc"/>
      </w:tcPr>
    </w:tblStylePr>
    <w:tblStylePr w:type="lastRow">
      <w:rPr>
        <w:b/>
        <w:bCs/>
        <w:color w:themeColor="accent5" w:themeShade="cc"/>
      </w:rPr>
      <w:tblPr/>
      <w:tcPr>
        <w:tcBorders>
          <w:top w:val="single" w:color="000000" w:themeColor="text1" w:sz="12" w:space="0"/>
        </w:tcBorders>
        <w:shd w:val="clear" w:color="auto" w:fill="FFFFFF" w:themeFill="background1"/>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themeColor="text1"/>
      </w:rPr>
      <w:tblPr/>
      <w:tcPr>
        <w:shd w:val="clear" w:color="auto" w:fill="999999" w:themeFill="text1" w:themeFillTint="66"/>
      </w:tcPr>
    </w:tblStylePr>
    <w:tblStylePr w:type="firstCol">
      <w:rPr>
        <w:color w:themeColor="background1"/>
      </w:rPr>
      <w:tblPr/>
      <w:tcPr>
        <w:shd w:val="clear" w:color="auto" w:fill="000000" w:themeFill="text1" w:themeFillShade="bf"/>
      </w:tcPr>
    </w:tblStylePr>
    <w:tblStylePr w:type="lastCol">
      <w:rPr>
        <w:color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themeColor="text1"/>
      </w:rPr>
      <w:tblPr/>
      <w:tcPr>
        <w:shd w:val="clear" w:color="auto" w:fill="B8CCE4" w:themeFill="accent1" w:themeFillTint="66"/>
      </w:tcPr>
    </w:tblStylePr>
    <w:tblStylePr w:type="firstCol">
      <w:rPr>
        <w:color w:themeColor="background1"/>
      </w:rPr>
      <w:tblPr/>
      <w:tcPr>
        <w:shd w:val="clear" w:color="auto" w:fill="365F91" w:themeFill="accent1" w:themeFillShade="bf"/>
      </w:tcPr>
    </w:tblStylePr>
    <w:tblStylePr w:type="lastCol">
      <w:rPr>
        <w:color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themeColor="text1"/>
      </w:rPr>
      <w:tblPr/>
      <w:tcPr>
        <w:shd w:val="clear" w:color="auto" w:fill="E5B8B7" w:themeFill="accent2" w:themeFillTint="66"/>
      </w:tcPr>
    </w:tblStylePr>
    <w:tblStylePr w:type="firstCol">
      <w:rPr>
        <w:color w:themeColor="background1"/>
      </w:rPr>
      <w:tblPr/>
      <w:tcPr>
        <w:shd w:val="clear" w:color="auto" w:fill="943634" w:themeFill="accent2" w:themeFillShade="bf"/>
      </w:tcPr>
    </w:tblStylePr>
    <w:tblStylePr w:type="lastCol">
      <w:rPr>
        <w:color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themeColor="text1"/>
      </w:rPr>
      <w:tblPr/>
      <w:tcPr>
        <w:shd w:val="clear" w:color="auto" w:fill="D6E3BC" w:themeFill="accent3" w:themeFillTint="66"/>
      </w:tcPr>
    </w:tblStylePr>
    <w:tblStylePr w:type="firstCol">
      <w:rPr>
        <w:color w:themeColor="background1"/>
      </w:rPr>
      <w:tblPr/>
      <w:tcPr>
        <w:shd w:val="clear" w:color="auto" w:fill="76923C" w:themeFill="accent3" w:themeFillShade="bf"/>
      </w:tcPr>
    </w:tblStylePr>
    <w:tblStylePr w:type="lastCol">
      <w:rPr>
        <w:color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themeColor="text1"/>
      </w:rPr>
      <w:tblPr/>
      <w:tcPr>
        <w:shd w:val="clear" w:color="auto" w:fill="CCC0D9" w:themeFill="accent4" w:themeFillTint="66"/>
      </w:tcPr>
    </w:tblStylePr>
    <w:tblStylePr w:type="firstCol">
      <w:rPr>
        <w:color w:themeColor="background1"/>
      </w:rPr>
      <w:tblPr/>
      <w:tcPr>
        <w:shd w:val="clear" w:color="auto" w:fill="5F497A" w:themeFill="accent4" w:themeFillShade="bf"/>
      </w:tcPr>
    </w:tblStylePr>
    <w:tblStylePr w:type="lastCol">
      <w:rPr>
        <w:color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themeColor="text1"/>
      </w:rPr>
      <w:tblPr/>
      <w:tcPr>
        <w:shd w:val="clear" w:color="auto" w:fill="B6DDE8" w:themeFill="accent5" w:themeFillTint="66"/>
      </w:tcPr>
    </w:tblStylePr>
    <w:tblStylePr w:type="firstCol">
      <w:rPr>
        <w:color w:themeColor="background1"/>
      </w:rPr>
      <w:tblPr/>
      <w:tcPr>
        <w:shd w:val="clear" w:color="auto" w:fill="31849B" w:themeFill="accent5" w:themeFillShade="bf"/>
      </w:tcPr>
    </w:tblStylePr>
    <w:tblStylePr w:type="lastCol">
      <w:rPr>
        <w:color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themeColor="text1"/>
    </w:rPr>
    <w:tblPr>
      <w:tblStyleRowBandSize w:val="1"/>
      <w:tblStyleColBandSize w:val="1"/>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themeColor="text1"/>
      </w:rPr>
      <w:tblPr/>
      <w:tcPr>
        <w:shd w:val="clear" w:color="auto" w:fill="FBD4B4" w:themeFill="accent6" w:themeFillTint="66"/>
      </w:tcPr>
    </w:tblStylePr>
    <w:tblStylePr w:type="firstCol">
      <w:rPr>
        <w:color w:themeColor="background1"/>
      </w:rPr>
      <w:tblPr/>
      <w:tcPr>
        <w:shd w:val="clear" w:color="auto" w:fill="E36C0A" w:themeFill="accent6" w:themeFillShade="bf"/>
      </w:tcPr>
    </w:tblStylePr>
    <w:tblStylePr w:type="lastCol">
      <w:rPr>
        <w:color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Relationship Id="rId13" Type="http://schemas.openxmlformats.org/officeDocument/2006/relationships/customXml" Target="../customXml/item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LibreOffice/24.2.7.2$Linux_X86_64 LibreOffice_project/420$Build-2</Application>
  <AppVersion>15.0000</AppVersion>
  <Pages>7</Pages>
  <Words>1032</Words>
  <Characters>5844</Characters>
  <CharactersWithSpaces>6688</CharactersWithSpaces>
  <Paragraphs>242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Hub Engineering Management Consulting</dc:creator>
  <dc:description>generated by python-docx</dc:description>
  <dc:language>en-US</dc:language>
  <cp:lastModifiedBy>Hub Engineering Management Consulting</cp:lastModifiedBy>
  <dcterms:modified xsi:type="dcterms:W3CDTF">2026-07-13T14:05:02Z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